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23F4" w14:textId="77777777" w:rsidR="00112B7D" w:rsidRDefault="00112B7D" w:rsidP="00112B7D">
      <w:pPr>
        <w:rPr>
          <w:b/>
        </w:rPr>
      </w:pPr>
      <w:r w:rsidRPr="000750BD">
        <w:rPr>
          <w:b/>
        </w:rPr>
        <w:t>Приложение к приказу №__ от ____________</w:t>
      </w:r>
    </w:p>
    <w:p w14:paraId="506ECAE4" w14:textId="77777777" w:rsidR="00112B7D" w:rsidRDefault="00112B7D" w:rsidP="005D7EF8">
      <w:pPr>
        <w:tabs>
          <w:tab w:val="left" w:pos="3402"/>
          <w:tab w:val="left" w:pos="3686"/>
          <w:tab w:val="left" w:pos="4111"/>
          <w:tab w:val="left" w:pos="4678"/>
          <w:tab w:val="left" w:pos="4820"/>
        </w:tabs>
        <w:jc w:val="center"/>
        <w:rPr>
          <w:b/>
          <w:bCs/>
        </w:rPr>
      </w:pPr>
    </w:p>
    <w:p w14:paraId="6C94ACE6" w14:textId="74FE0766" w:rsidR="005D7EF8" w:rsidRPr="0088632F" w:rsidRDefault="005D7EF8" w:rsidP="005D7EF8">
      <w:pPr>
        <w:tabs>
          <w:tab w:val="left" w:pos="3402"/>
          <w:tab w:val="left" w:pos="3686"/>
          <w:tab w:val="left" w:pos="4111"/>
          <w:tab w:val="left" w:pos="4678"/>
          <w:tab w:val="left" w:pos="4820"/>
        </w:tabs>
        <w:jc w:val="center"/>
        <w:rPr>
          <w:b/>
          <w:bCs/>
        </w:rPr>
      </w:pPr>
      <w:bookmarkStart w:id="0" w:name="_GoBack"/>
      <w:bookmarkEnd w:id="0"/>
      <w:r w:rsidRPr="0088632F">
        <w:rPr>
          <w:b/>
          <w:bCs/>
        </w:rPr>
        <w:t xml:space="preserve">Документация для проведения конкурентных переговоров </w:t>
      </w:r>
    </w:p>
    <w:p w14:paraId="1EB9E8E5" w14:textId="77777777" w:rsidR="005D7EF8" w:rsidRPr="00D41CD2" w:rsidRDefault="005D7EF8" w:rsidP="005D7EF8">
      <w:pPr>
        <w:tabs>
          <w:tab w:val="left" w:pos="3402"/>
          <w:tab w:val="left" w:pos="3686"/>
          <w:tab w:val="left" w:pos="4111"/>
          <w:tab w:val="left" w:pos="4678"/>
          <w:tab w:val="left" w:pos="4820"/>
        </w:tabs>
        <w:jc w:val="center"/>
        <w:rPr>
          <w:b/>
          <w:bCs/>
        </w:rPr>
      </w:pPr>
      <w:r w:rsidRPr="0088632F">
        <w:rPr>
          <w:b/>
          <w:bCs/>
        </w:rPr>
        <w:t xml:space="preserve">по закупкам </w:t>
      </w:r>
      <w:r>
        <w:rPr>
          <w:b/>
          <w:bCs/>
        </w:rPr>
        <w:t>переводческих услуг</w:t>
      </w:r>
    </w:p>
    <w:p w14:paraId="5D285E0D" w14:textId="77777777" w:rsidR="005D7EF8" w:rsidRPr="00D41CD2" w:rsidRDefault="005D7EF8" w:rsidP="005D7EF8">
      <w:pPr>
        <w:tabs>
          <w:tab w:val="left" w:pos="3402"/>
          <w:tab w:val="left" w:pos="3686"/>
          <w:tab w:val="left" w:pos="4111"/>
          <w:tab w:val="left" w:pos="4678"/>
          <w:tab w:val="left" w:pos="4820"/>
        </w:tabs>
        <w:jc w:val="center"/>
        <w:rPr>
          <w:b/>
          <w:bCs/>
        </w:rPr>
      </w:pPr>
      <w:r w:rsidRPr="0088632F">
        <w:rPr>
          <w:b/>
          <w:bCs/>
        </w:rPr>
        <w:t>способом тендера</w:t>
      </w:r>
      <w:r w:rsidRPr="00D41CD2">
        <w:rPr>
          <w:b/>
          <w:bCs/>
        </w:rPr>
        <w:t xml:space="preserve"> </w:t>
      </w:r>
      <w:r w:rsidRPr="0088632F">
        <w:rPr>
          <w:b/>
          <w:bCs/>
        </w:rPr>
        <w:t>путем проведения конкурентных переговоров</w:t>
      </w:r>
    </w:p>
    <w:p w14:paraId="70ACEFC9" w14:textId="77777777" w:rsidR="005D7EF8" w:rsidRPr="00A751AE" w:rsidRDefault="005D7EF8" w:rsidP="005D7EF8">
      <w:pPr>
        <w:ind w:firstLine="567"/>
        <w:jc w:val="center"/>
        <w:rPr>
          <w:b/>
        </w:rPr>
      </w:pPr>
    </w:p>
    <w:p w14:paraId="3577F4C5" w14:textId="77777777" w:rsidR="005D7EF8" w:rsidRPr="00A751AE" w:rsidRDefault="005D7EF8" w:rsidP="005D7EF8">
      <w:pPr>
        <w:ind w:left="113" w:right="51" w:firstLine="708"/>
        <w:jc w:val="both"/>
      </w:pPr>
      <w:r w:rsidRPr="00A751AE">
        <w:t>Документация для проведения конкурентных переговоров разработана в соответствии со Стандартом управления закупочной деятельностью акционерного общества «Фонд национального благосостояния «</w:t>
      </w:r>
      <w:proofErr w:type="spellStart"/>
      <w:r w:rsidRPr="00A751AE">
        <w:t>Самрук-Қазына</w:t>
      </w:r>
      <w:proofErr w:type="spellEnd"/>
      <w:r w:rsidRPr="00A751AE">
        <w:t>» и организаций пятьдесят и более процентов голосующих акций (долей участия) которых прямо или косвенно принадлежат АО «</w:t>
      </w:r>
      <w:proofErr w:type="spellStart"/>
      <w:r w:rsidRPr="00A751AE">
        <w:t>Самрук-Қазына</w:t>
      </w:r>
      <w:proofErr w:type="spellEnd"/>
      <w:r w:rsidRPr="00A751AE">
        <w:t>» на праве собственности или доверительного управления, утвержденным решением Правления АО «</w:t>
      </w:r>
      <w:proofErr w:type="spellStart"/>
      <w:r w:rsidRPr="00A751AE">
        <w:t>Самрук-Қазына</w:t>
      </w:r>
      <w:proofErr w:type="spellEnd"/>
      <w:r w:rsidRPr="00A751AE">
        <w:t>» от 9 сентября 2019 года, № 31/19 (далее – Стандарт).</w:t>
      </w:r>
    </w:p>
    <w:p w14:paraId="55F6020E" w14:textId="77777777" w:rsidR="005D7EF8" w:rsidRPr="00A751AE" w:rsidRDefault="005D7EF8" w:rsidP="005D7EF8">
      <w:pPr>
        <w:ind w:firstLine="567"/>
        <w:rPr>
          <w:b/>
        </w:rPr>
      </w:pPr>
    </w:p>
    <w:p w14:paraId="59B9C0C8" w14:textId="77777777" w:rsidR="005D7EF8" w:rsidRDefault="005D7EF8" w:rsidP="005D7EF8">
      <w:pPr>
        <w:ind w:firstLine="567"/>
        <w:rPr>
          <w:b/>
        </w:rPr>
      </w:pPr>
      <w:r w:rsidRPr="00A751AE">
        <w:rPr>
          <w:b/>
        </w:rPr>
        <w:t xml:space="preserve">Перечень закупаемых </w:t>
      </w:r>
      <w:r>
        <w:rPr>
          <w:b/>
        </w:rPr>
        <w:t>услуг</w:t>
      </w:r>
    </w:p>
    <w:p w14:paraId="46258F80" w14:textId="77777777" w:rsidR="005D7EF8" w:rsidRPr="00A751AE" w:rsidRDefault="005D7EF8" w:rsidP="005D7EF8">
      <w:pPr>
        <w:ind w:firstLine="567"/>
        <w:rPr>
          <w:b/>
        </w:rPr>
      </w:pPr>
    </w:p>
    <w:tbl>
      <w:tblPr>
        <w:tblW w:w="98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9"/>
        <w:gridCol w:w="1560"/>
        <w:gridCol w:w="1559"/>
        <w:gridCol w:w="1276"/>
        <w:gridCol w:w="596"/>
        <w:gridCol w:w="1559"/>
        <w:gridCol w:w="992"/>
        <w:gridCol w:w="1418"/>
      </w:tblGrid>
      <w:tr w:rsidR="005D7EF8" w:rsidRPr="00647B38" w14:paraId="602D7B20" w14:textId="77777777" w:rsidTr="00F331BB">
        <w:trPr>
          <w:trHeight w:val="64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EE8FC" w14:textId="77777777" w:rsidR="005D7EF8" w:rsidRPr="00961F84" w:rsidRDefault="005D7EF8" w:rsidP="00F331BB">
            <w:pPr>
              <w:jc w:val="center"/>
              <w:rPr>
                <w:b/>
                <w:sz w:val="20"/>
                <w:szCs w:val="20"/>
              </w:rPr>
            </w:pPr>
            <w:r w:rsidRPr="00961F84">
              <w:rPr>
                <w:b/>
                <w:sz w:val="20"/>
                <w:szCs w:val="20"/>
              </w:rPr>
              <w:t>№</w:t>
            </w:r>
          </w:p>
          <w:p w14:paraId="333CC9F7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961F84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C7F8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961F8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05A9E" w14:textId="77777777" w:rsidR="005D7EF8" w:rsidRPr="00961F84" w:rsidRDefault="005D7EF8" w:rsidP="00F331BB">
            <w:pPr>
              <w:jc w:val="center"/>
              <w:rPr>
                <w:b/>
                <w:sz w:val="20"/>
                <w:szCs w:val="20"/>
              </w:rPr>
            </w:pPr>
            <w:r w:rsidRPr="00961F84">
              <w:rPr>
                <w:b/>
                <w:sz w:val="20"/>
                <w:szCs w:val="20"/>
              </w:rPr>
              <w:t>Краткая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16452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961F84">
              <w:rPr>
                <w:b/>
                <w:sz w:val="20"/>
                <w:szCs w:val="20"/>
              </w:rPr>
              <w:t>Сумма, без учета НДС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2809F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961F8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1DA5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B47D3F">
              <w:rPr>
                <w:rStyle w:val="285pt"/>
                <w:rFonts w:eastAsia="Calibri"/>
                <w:sz w:val="20"/>
                <w:szCs w:val="20"/>
              </w:rPr>
              <w:t>Место</w:t>
            </w:r>
          </w:p>
          <w:p w14:paraId="1C76FA2B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B47D3F">
              <w:rPr>
                <w:rStyle w:val="285pt"/>
                <w:rFonts w:eastAsia="Calibri"/>
                <w:sz w:val="20"/>
                <w:szCs w:val="20"/>
              </w:rPr>
              <w:t>поставки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214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B47D3F">
              <w:rPr>
                <w:rStyle w:val="285pt"/>
                <w:rFonts w:eastAsia="Calibri"/>
                <w:sz w:val="20"/>
                <w:szCs w:val="20"/>
              </w:rPr>
              <w:t>Срок</w:t>
            </w:r>
          </w:p>
          <w:p w14:paraId="7DBEB46A" w14:textId="77777777" w:rsidR="005D7EF8" w:rsidRPr="00961F84" w:rsidRDefault="005D7EF8" w:rsidP="00F331BB">
            <w:pPr>
              <w:jc w:val="center"/>
              <w:rPr>
                <w:b/>
                <w:sz w:val="20"/>
                <w:szCs w:val="20"/>
              </w:rPr>
            </w:pPr>
            <w:r w:rsidRPr="00B47D3F">
              <w:rPr>
                <w:rStyle w:val="285pt"/>
                <w:rFonts w:eastAsia="Calibri"/>
                <w:sz w:val="20"/>
                <w:szCs w:val="20"/>
              </w:rPr>
              <w:t>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DD5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B47D3F">
              <w:rPr>
                <w:rStyle w:val="285pt"/>
                <w:rFonts w:eastAsia="Calibri"/>
                <w:sz w:val="20"/>
                <w:szCs w:val="20"/>
              </w:rPr>
              <w:t>Условия</w:t>
            </w:r>
          </w:p>
          <w:p w14:paraId="10E299A8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B47D3F">
              <w:rPr>
                <w:rStyle w:val="285pt"/>
                <w:rFonts w:eastAsia="Calibri"/>
                <w:sz w:val="20"/>
                <w:szCs w:val="20"/>
              </w:rPr>
              <w:t>оплаты</w:t>
            </w:r>
          </w:p>
        </w:tc>
      </w:tr>
      <w:tr w:rsidR="005D7EF8" w:rsidRPr="00647B38" w14:paraId="4A680C26" w14:textId="77777777" w:rsidTr="00F331BB">
        <w:trPr>
          <w:trHeight w:val="3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6433" w14:textId="77777777" w:rsidR="005D7EF8" w:rsidRPr="00961F84" w:rsidRDefault="005D7EF8" w:rsidP="00F331B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</w:t>
            </w:r>
            <w:r w:rsidRPr="00CB7890">
              <w:rPr>
                <w:sz w:val="20"/>
                <w:szCs w:val="20"/>
              </w:rPr>
              <w:t xml:space="preserve"> 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FBE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Переводческие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659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Переводческие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496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035" w14:textId="77777777" w:rsidR="005D7EF8" w:rsidRPr="00961F84" w:rsidRDefault="005D7EF8" w:rsidP="00F331BB">
            <w:pPr>
              <w:jc w:val="center"/>
              <w:rPr>
                <w:sz w:val="20"/>
                <w:szCs w:val="20"/>
              </w:rPr>
            </w:pPr>
            <w:r w:rsidRPr="00961F8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D76C" w14:textId="77777777" w:rsidR="005D7EF8" w:rsidRPr="00CD0422" w:rsidRDefault="005D7EF8" w:rsidP="00F331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21"/>
                <w:rFonts w:eastAsia="Calibri"/>
                <w:sz w:val="20"/>
                <w:szCs w:val="20"/>
              </w:rPr>
              <w:t xml:space="preserve">КАЗАХСТАН </w:t>
            </w:r>
            <w:proofErr w:type="spellStart"/>
            <w:r>
              <w:rPr>
                <w:rStyle w:val="21"/>
                <w:rFonts w:eastAsia="Calibri"/>
                <w:sz w:val="20"/>
                <w:szCs w:val="20"/>
              </w:rPr>
              <w:t>г.Нур</w:t>
            </w:r>
            <w:proofErr w:type="spellEnd"/>
            <w:r>
              <w:rPr>
                <w:rStyle w:val="21"/>
                <w:rFonts w:eastAsia="Calibri"/>
                <w:sz w:val="20"/>
                <w:szCs w:val="20"/>
              </w:rPr>
              <w:t xml:space="preserve">-Султан, </w:t>
            </w:r>
            <w:proofErr w:type="spellStart"/>
            <w:r>
              <w:rPr>
                <w:rStyle w:val="21"/>
                <w:rFonts w:eastAsia="Calibri"/>
                <w:sz w:val="20"/>
                <w:szCs w:val="20"/>
              </w:rPr>
              <w:t>Кунаева</w:t>
            </w:r>
            <w:proofErr w:type="spellEnd"/>
            <w:r>
              <w:rPr>
                <w:rStyle w:val="21"/>
                <w:rFonts w:eastAsia="Calibri"/>
                <w:sz w:val="20"/>
                <w:szCs w:val="20"/>
              </w:rPr>
              <w:t xml:space="preserve"> 8, блок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F82" w14:textId="77777777" w:rsidR="005D7EF8" w:rsidRPr="00CD0422" w:rsidRDefault="005D7EF8" w:rsidP="00F331BB">
            <w:pPr>
              <w:jc w:val="center"/>
              <w:rPr>
                <w:color w:val="FF0000"/>
                <w:sz w:val="20"/>
                <w:szCs w:val="20"/>
              </w:rPr>
            </w:pPr>
            <w:r w:rsidRPr="001E629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даты подписания</w:t>
            </w:r>
            <w:r w:rsidRPr="001E6296">
              <w:rPr>
                <w:sz w:val="20"/>
                <w:szCs w:val="20"/>
              </w:rPr>
              <w:t xml:space="preserve"> по 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DB0" w14:textId="77777777" w:rsidR="005D7EF8" w:rsidRPr="001E6296" w:rsidRDefault="005D7EF8" w:rsidP="00F331BB">
            <w:pPr>
              <w:jc w:val="center"/>
              <w:rPr>
                <w:sz w:val="20"/>
                <w:szCs w:val="20"/>
              </w:rPr>
            </w:pPr>
            <w:r w:rsidRPr="001E6296">
              <w:rPr>
                <w:sz w:val="20"/>
                <w:szCs w:val="20"/>
              </w:rPr>
              <w:t>Предоплата - 0</w:t>
            </w:r>
            <w:proofErr w:type="gramStart"/>
            <w:r w:rsidRPr="001E6296">
              <w:rPr>
                <w:sz w:val="20"/>
                <w:szCs w:val="20"/>
              </w:rPr>
              <w:t>% ,</w:t>
            </w:r>
            <w:proofErr w:type="gramEnd"/>
            <w:r w:rsidRPr="001E6296">
              <w:rPr>
                <w:sz w:val="20"/>
                <w:szCs w:val="20"/>
              </w:rPr>
              <w:t xml:space="preserve"> Промежуточный платеж - 100% , Окончательный платеж - 0%</w:t>
            </w:r>
          </w:p>
        </w:tc>
      </w:tr>
    </w:tbl>
    <w:p w14:paraId="14A6E506" w14:textId="77777777" w:rsidR="005D7EF8" w:rsidRDefault="005D7EF8" w:rsidP="005D7EF8">
      <w:pPr>
        <w:ind w:left="113" w:right="57" w:firstLine="708"/>
        <w:jc w:val="both"/>
        <w:rPr>
          <w:b/>
          <w:bCs/>
          <w:sz w:val="28"/>
          <w:szCs w:val="28"/>
        </w:rPr>
      </w:pPr>
    </w:p>
    <w:p w14:paraId="61ACDB23" w14:textId="77777777" w:rsidR="005D7EF8" w:rsidRPr="00A751AE" w:rsidRDefault="005D7EF8" w:rsidP="005D7EF8">
      <w:pPr>
        <w:ind w:left="113" w:right="57" w:firstLine="708"/>
        <w:jc w:val="both"/>
      </w:pPr>
      <w:r w:rsidRPr="00A751AE">
        <w:rPr>
          <w:b/>
          <w:bCs/>
        </w:rPr>
        <w:t>Эл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  <w:spacing w:val="1"/>
        </w:rPr>
        <w:t>нн</w:t>
      </w:r>
      <w:r w:rsidRPr="00A751AE">
        <w:rPr>
          <w:b/>
          <w:bCs/>
        </w:rPr>
        <w:t>ые заку</w:t>
      </w:r>
      <w:r w:rsidRPr="00A751AE">
        <w:rPr>
          <w:b/>
          <w:bCs/>
          <w:spacing w:val="1"/>
        </w:rPr>
        <w:t>п</w:t>
      </w:r>
      <w:r w:rsidRPr="00A751AE">
        <w:rPr>
          <w:b/>
          <w:bCs/>
          <w:spacing w:val="-1"/>
        </w:rPr>
        <w:t>к</w:t>
      </w:r>
      <w:r w:rsidRPr="00A751AE">
        <w:rPr>
          <w:b/>
          <w:bCs/>
        </w:rPr>
        <w:t>и</w:t>
      </w:r>
      <w:r w:rsidRPr="00A751AE">
        <w:rPr>
          <w:b/>
          <w:bCs/>
          <w:spacing w:val="1"/>
        </w:rPr>
        <w:t xml:space="preserve"> 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  <w:spacing w:val="1"/>
        </w:rPr>
        <w:t>п</w:t>
      </w:r>
      <w:r w:rsidRPr="00A751AE">
        <w:rPr>
          <w:b/>
          <w:bCs/>
        </w:rPr>
        <w:t>о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</w:rPr>
        <w:t>обом</w:t>
      </w:r>
      <w:r w:rsidRPr="00A751AE">
        <w:rPr>
          <w:b/>
          <w:bCs/>
          <w:spacing w:val="1"/>
        </w:rPr>
        <w:t xml:space="preserve"> 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нд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</w:rPr>
        <w:t>а</w:t>
      </w:r>
      <w:r w:rsidRPr="00A751AE">
        <w:rPr>
          <w:b/>
          <w:bCs/>
          <w:spacing w:val="1"/>
        </w:rPr>
        <w:t xml:space="preserve"> путем проведения конкурентных переговоров пр</w:t>
      </w:r>
      <w:r w:rsidRPr="00A751AE">
        <w:rPr>
          <w:b/>
          <w:bCs/>
        </w:rPr>
        <w:t>ов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  <w:spacing w:val="1"/>
        </w:rPr>
        <w:t>д</w:t>
      </w:r>
      <w:r w:rsidRPr="00A751AE">
        <w:rPr>
          <w:b/>
          <w:bCs/>
          <w:spacing w:val="-3"/>
        </w:rPr>
        <w:t>я</w:t>
      </w:r>
      <w:r w:rsidRPr="00A751AE">
        <w:rPr>
          <w:b/>
          <w:bCs/>
        </w:rPr>
        <w:t>т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</w:rPr>
        <w:t>я</w:t>
      </w:r>
      <w:r w:rsidRPr="00A751AE">
        <w:rPr>
          <w:b/>
          <w:bCs/>
          <w:spacing w:val="1"/>
        </w:rPr>
        <w:t xml:space="preserve"> н</w:t>
      </w:r>
      <w:r w:rsidRPr="00A751AE">
        <w:rPr>
          <w:b/>
          <w:bCs/>
        </w:rPr>
        <w:t>а</w:t>
      </w:r>
      <w:r w:rsidRPr="00A751AE">
        <w:rPr>
          <w:b/>
          <w:bCs/>
          <w:spacing w:val="1"/>
        </w:rPr>
        <w:t xml:space="preserve"> п</w:t>
      </w:r>
      <w:r w:rsidRPr="00A751AE">
        <w:rPr>
          <w:b/>
          <w:bCs/>
        </w:rPr>
        <w:t>о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</w:rPr>
        <w:t>але э</w:t>
      </w:r>
      <w:r w:rsidRPr="00A751AE">
        <w:rPr>
          <w:b/>
          <w:bCs/>
          <w:spacing w:val="-1"/>
        </w:rPr>
        <w:t>ле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</w:rPr>
        <w:t>о</w:t>
      </w:r>
      <w:r w:rsidRPr="00A751AE">
        <w:rPr>
          <w:b/>
          <w:bCs/>
          <w:spacing w:val="-1"/>
        </w:rPr>
        <w:t>н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ых</w:t>
      </w:r>
      <w:r w:rsidRPr="00A751AE">
        <w:rPr>
          <w:b/>
          <w:bCs/>
          <w:spacing w:val="14"/>
        </w:rPr>
        <w:t xml:space="preserve"> </w:t>
      </w:r>
      <w:r w:rsidRPr="00A751AE">
        <w:rPr>
          <w:b/>
          <w:bCs/>
        </w:rPr>
        <w:t>зак</w:t>
      </w:r>
      <w:r w:rsidRPr="00A751AE">
        <w:rPr>
          <w:b/>
          <w:bCs/>
          <w:spacing w:val="-2"/>
        </w:rPr>
        <w:t>у</w:t>
      </w:r>
      <w:r w:rsidRPr="00A751AE">
        <w:rPr>
          <w:b/>
          <w:bCs/>
          <w:spacing w:val="1"/>
        </w:rPr>
        <w:t>п</w:t>
      </w:r>
      <w:r w:rsidRPr="00A751AE">
        <w:rPr>
          <w:b/>
          <w:bCs/>
        </w:rPr>
        <w:t>ок ww</w:t>
      </w:r>
      <w:r w:rsidRPr="00A751AE">
        <w:rPr>
          <w:b/>
          <w:bCs/>
          <w:spacing w:val="3"/>
        </w:rPr>
        <w:t>w</w:t>
      </w:r>
      <w:r w:rsidRPr="00A751AE">
        <w:rPr>
          <w:b/>
          <w:bCs/>
        </w:rPr>
        <w:t>.</w:t>
      </w:r>
      <w:r w:rsidRPr="00A751AE">
        <w:rPr>
          <w:b/>
          <w:bCs/>
          <w:spacing w:val="-1"/>
        </w:rPr>
        <w:t>z</w:t>
      </w:r>
      <w:r w:rsidRPr="00A751AE">
        <w:rPr>
          <w:b/>
          <w:bCs/>
        </w:rPr>
        <w:t>a</w:t>
      </w:r>
      <w:r w:rsidRPr="00A751AE">
        <w:rPr>
          <w:b/>
          <w:bCs/>
          <w:spacing w:val="1"/>
        </w:rPr>
        <w:t>k</w:t>
      </w:r>
      <w:r w:rsidRPr="00A751AE">
        <w:rPr>
          <w:b/>
          <w:bCs/>
          <w:spacing w:val="-1"/>
        </w:rPr>
        <w:t>u</w:t>
      </w:r>
      <w:r w:rsidRPr="00A751AE">
        <w:rPr>
          <w:b/>
          <w:bCs/>
          <w:spacing w:val="1"/>
        </w:rPr>
        <w:t>p</w:t>
      </w:r>
      <w:r w:rsidRPr="00A751AE">
        <w:rPr>
          <w:b/>
          <w:bCs/>
        </w:rPr>
        <w:t>.s</w:t>
      </w:r>
      <w:r w:rsidRPr="00A751AE">
        <w:rPr>
          <w:b/>
          <w:bCs/>
          <w:spacing w:val="1"/>
        </w:rPr>
        <w:t>k</w:t>
      </w:r>
      <w:r w:rsidRPr="00A751AE">
        <w:rPr>
          <w:b/>
          <w:bCs/>
        </w:rPr>
        <w:t>.</w:t>
      </w:r>
      <w:r w:rsidRPr="00A751AE">
        <w:rPr>
          <w:b/>
          <w:bCs/>
          <w:spacing w:val="1"/>
        </w:rPr>
        <w:t>k</w:t>
      </w:r>
      <w:r w:rsidRPr="00A751AE">
        <w:rPr>
          <w:b/>
          <w:bCs/>
        </w:rPr>
        <w:t>z</w:t>
      </w:r>
      <w:r w:rsidRPr="00A751AE">
        <w:rPr>
          <w:b/>
          <w:bCs/>
          <w:spacing w:val="12"/>
        </w:rPr>
        <w:t xml:space="preserve"> </w:t>
      </w:r>
      <w:r w:rsidRPr="00A751AE">
        <w:rPr>
          <w:b/>
          <w:bCs/>
          <w:color w:val="000000"/>
        </w:rPr>
        <w:t>в</w:t>
      </w:r>
      <w:r w:rsidRPr="00A751AE">
        <w:rPr>
          <w:b/>
          <w:bCs/>
          <w:color w:val="000000"/>
          <w:spacing w:val="12"/>
        </w:rPr>
        <w:t xml:space="preserve"> </w:t>
      </w:r>
      <w:r w:rsidRPr="00A751AE">
        <w:rPr>
          <w:b/>
          <w:bCs/>
          <w:color w:val="000000"/>
          <w:spacing w:val="-1"/>
        </w:rPr>
        <w:t>с</w:t>
      </w:r>
      <w:r w:rsidRPr="00A751AE">
        <w:rPr>
          <w:b/>
          <w:bCs/>
          <w:color w:val="000000"/>
          <w:spacing w:val="-2"/>
        </w:rPr>
        <w:t>о</w:t>
      </w:r>
      <w:r w:rsidRPr="00A751AE">
        <w:rPr>
          <w:b/>
          <w:bCs/>
          <w:color w:val="000000"/>
        </w:rPr>
        <w:t>о</w:t>
      </w:r>
      <w:r w:rsidRPr="00A751AE">
        <w:rPr>
          <w:b/>
          <w:bCs/>
          <w:color w:val="000000"/>
          <w:spacing w:val="2"/>
        </w:rPr>
        <w:t>т</w:t>
      </w:r>
      <w:r w:rsidRPr="00A751AE">
        <w:rPr>
          <w:b/>
          <w:bCs/>
          <w:color w:val="000000"/>
        </w:rPr>
        <w:t>в</w:t>
      </w:r>
      <w:r w:rsidRPr="00A751AE">
        <w:rPr>
          <w:b/>
          <w:bCs/>
          <w:color w:val="000000"/>
          <w:spacing w:val="-1"/>
        </w:rPr>
        <w:t>е</w:t>
      </w:r>
      <w:r w:rsidRPr="00A751AE">
        <w:rPr>
          <w:b/>
          <w:bCs/>
          <w:color w:val="000000"/>
          <w:spacing w:val="2"/>
        </w:rPr>
        <w:t>т</w:t>
      </w:r>
      <w:r w:rsidRPr="00A751AE">
        <w:rPr>
          <w:b/>
          <w:bCs/>
          <w:color w:val="000000"/>
          <w:spacing w:val="-3"/>
        </w:rPr>
        <w:t>с</w:t>
      </w:r>
      <w:r w:rsidRPr="00A751AE">
        <w:rPr>
          <w:b/>
          <w:bCs/>
          <w:color w:val="000000"/>
          <w:spacing w:val="2"/>
        </w:rPr>
        <w:t>т</w:t>
      </w:r>
      <w:r w:rsidRPr="00A751AE">
        <w:rPr>
          <w:b/>
          <w:bCs/>
          <w:color w:val="000000"/>
        </w:rPr>
        <w:t>в</w:t>
      </w:r>
      <w:r w:rsidRPr="00A751AE">
        <w:rPr>
          <w:b/>
          <w:bCs/>
          <w:color w:val="000000"/>
          <w:spacing w:val="-1"/>
        </w:rPr>
        <w:t>и</w:t>
      </w:r>
      <w:r w:rsidRPr="00A751AE">
        <w:rPr>
          <w:b/>
          <w:bCs/>
          <w:color w:val="000000"/>
        </w:rPr>
        <w:t>и</w:t>
      </w:r>
      <w:r w:rsidRPr="00A751AE">
        <w:rPr>
          <w:b/>
          <w:bCs/>
          <w:color w:val="000000"/>
          <w:spacing w:val="15"/>
        </w:rPr>
        <w:t xml:space="preserve"> </w:t>
      </w:r>
      <w:r w:rsidRPr="00A751AE">
        <w:rPr>
          <w:b/>
          <w:bCs/>
          <w:color w:val="000000"/>
        </w:rPr>
        <w:t>со Стандартом.</w:t>
      </w:r>
    </w:p>
    <w:p w14:paraId="3F5FC440" w14:textId="77777777" w:rsidR="005D7EF8" w:rsidRDefault="005D7EF8" w:rsidP="005D7EF8">
      <w:pPr>
        <w:spacing w:line="272" w:lineRule="exact"/>
        <w:ind w:left="113"/>
        <w:jc w:val="both"/>
        <w:rPr>
          <w:b/>
          <w:bCs/>
        </w:rPr>
      </w:pPr>
    </w:p>
    <w:p w14:paraId="57F8B2BA" w14:textId="77777777" w:rsidR="005D7EF8" w:rsidRDefault="005D7EF8" w:rsidP="005D7EF8">
      <w:pPr>
        <w:spacing w:line="272" w:lineRule="exact"/>
        <w:ind w:left="113"/>
        <w:jc w:val="both"/>
        <w:rPr>
          <w:b/>
          <w:bCs/>
        </w:rPr>
      </w:pPr>
      <w:r>
        <w:rPr>
          <w:b/>
          <w:bCs/>
        </w:rPr>
        <w:tab/>
        <w:t>В</w:t>
      </w:r>
      <w:r w:rsidRPr="00A751AE">
        <w:rPr>
          <w:b/>
          <w:bCs/>
          <w:spacing w:val="1"/>
        </w:rPr>
        <w:t xml:space="preserve"> д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</w:rPr>
        <w:t>ум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</w:rPr>
        <w:t>а</w:t>
      </w:r>
      <w:r w:rsidRPr="00A751AE">
        <w:rPr>
          <w:b/>
          <w:bCs/>
          <w:spacing w:val="-1"/>
        </w:rPr>
        <w:t>ц</w:t>
      </w:r>
      <w:r w:rsidRPr="00A751AE">
        <w:rPr>
          <w:b/>
          <w:bCs/>
          <w:spacing w:val="1"/>
        </w:rPr>
        <w:t>и</w:t>
      </w:r>
      <w:r w:rsidRPr="00A751AE">
        <w:rPr>
          <w:b/>
          <w:bCs/>
        </w:rPr>
        <w:t>и</w:t>
      </w:r>
      <w:r w:rsidRPr="00A751AE">
        <w:rPr>
          <w:b/>
          <w:bCs/>
          <w:spacing w:val="1"/>
        </w:rPr>
        <w:t xml:space="preserve"> для проведения конкурентных переговоров и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  <w:spacing w:val="1"/>
        </w:rPr>
        <w:t>п</w:t>
      </w:r>
      <w:r w:rsidRPr="00A751AE">
        <w:rPr>
          <w:b/>
          <w:bCs/>
        </w:rPr>
        <w:t>ользу</w:t>
      </w:r>
      <w:r w:rsidRPr="00A751AE">
        <w:rPr>
          <w:b/>
          <w:bCs/>
          <w:spacing w:val="-4"/>
        </w:rPr>
        <w:t>ю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</w:rPr>
        <w:t>я</w:t>
      </w:r>
      <w:r>
        <w:rPr>
          <w:b/>
          <w:bCs/>
        </w:rPr>
        <w:t xml:space="preserve"> 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</w:rPr>
        <w:t>л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д</w:t>
      </w:r>
      <w:r w:rsidRPr="00A751AE">
        <w:rPr>
          <w:b/>
          <w:bCs/>
        </w:rPr>
        <w:t>у</w:t>
      </w:r>
      <w:r w:rsidRPr="00A751AE">
        <w:rPr>
          <w:b/>
          <w:bCs/>
          <w:spacing w:val="1"/>
        </w:rPr>
        <w:t>ю</w:t>
      </w:r>
      <w:r w:rsidRPr="00A751AE">
        <w:rPr>
          <w:b/>
          <w:bCs/>
          <w:spacing w:val="-3"/>
        </w:rPr>
        <w:t>щ</w:t>
      </w:r>
      <w:r w:rsidRPr="00A751AE">
        <w:rPr>
          <w:b/>
          <w:bCs/>
          <w:spacing w:val="1"/>
        </w:rPr>
        <w:t>и</w:t>
      </w:r>
      <w:r w:rsidRPr="00A751AE">
        <w:rPr>
          <w:b/>
          <w:bCs/>
        </w:rPr>
        <w:t>е</w:t>
      </w:r>
      <w:r w:rsidRPr="00A751AE">
        <w:rPr>
          <w:b/>
          <w:bCs/>
          <w:spacing w:val="-1"/>
        </w:rPr>
        <w:t xml:space="preserve"> </w:t>
      </w:r>
      <w:r w:rsidRPr="00A751AE">
        <w:rPr>
          <w:b/>
          <w:bCs/>
        </w:rPr>
        <w:t>о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ов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ые</w:t>
      </w:r>
      <w:r w:rsidRPr="00A751AE">
        <w:rPr>
          <w:b/>
          <w:bCs/>
          <w:spacing w:val="-1"/>
        </w:rPr>
        <w:t xml:space="preserve"> </w:t>
      </w:r>
      <w:r w:rsidRPr="00A751AE">
        <w:rPr>
          <w:b/>
          <w:bCs/>
          <w:spacing w:val="3"/>
        </w:rPr>
        <w:t>п</w:t>
      </w:r>
      <w:r w:rsidRPr="00A751AE">
        <w:rPr>
          <w:b/>
          <w:bCs/>
        </w:rPr>
        <w:t>о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ятия:</w:t>
      </w:r>
    </w:p>
    <w:p w14:paraId="7AED5D7D" w14:textId="77777777" w:rsidR="005D7EF8" w:rsidRPr="00A751AE" w:rsidRDefault="005D7EF8" w:rsidP="005D7EF8">
      <w:pPr>
        <w:spacing w:line="272" w:lineRule="exact"/>
        <w:ind w:left="680" w:right="1107"/>
      </w:pPr>
      <w:r w:rsidRPr="00A751AE">
        <w:rPr>
          <w:b/>
          <w:bCs/>
        </w:rPr>
        <w:t>Фо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д</w:t>
      </w:r>
      <w:r w:rsidRPr="00A751AE">
        <w:rPr>
          <w:b/>
          <w:bCs/>
          <w:spacing w:val="1"/>
        </w:rPr>
        <w:t xml:space="preserve"> </w:t>
      </w:r>
      <w:r w:rsidRPr="00A751AE">
        <w:t>– АО</w:t>
      </w:r>
      <w:r w:rsidRPr="00A751AE">
        <w:rPr>
          <w:spacing w:val="4"/>
        </w:rPr>
        <w:t xml:space="preserve"> </w:t>
      </w:r>
      <w:r w:rsidRPr="00A751AE">
        <w:rPr>
          <w:spacing w:val="-10"/>
        </w:rPr>
        <w:t>«</w:t>
      </w:r>
      <w:proofErr w:type="spellStart"/>
      <w:r w:rsidRPr="00A751AE">
        <w:rPr>
          <w:spacing w:val="3"/>
        </w:rPr>
        <w:t>С</w:t>
      </w:r>
      <w:r w:rsidRPr="00A751AE">
        <w:rPr>
          <w:spacing w:val="-1"/>
        </w:rPr>
        <w:t>ам</w:t>
      </w:r>
      <w:r w:rsidRPr="00A751AE">
        <w:rPr>
          <w:spacing w:val="5"/>
        </w:rPr>
        <w:t>р</w:t>
      </w:r>
      <w:r w:rsidRPr="00A751AE">
        <w:rPr>
          <w:spacing w:val="-5"/>
        </w:rPr>
        <w:t>у</w:t>
      </w:r>
      <w:r w:rsidRPr="00A751AE">
        <w:rPr>
          <w:spacing w:val="2"/>
        </w:rPr>
        <w:t>к</w:t>
      </w:r>
      <w:r w:rsidRPr="00A751AE">
        <w:rPr>
          <w:spacing w:val="-1"/>
        </w:rPr>
        <w:t>-</w:t>
      </w:r>
      <w:r w:rsidRPr="00A751AE">
        <w:rPr>
          <w:spacing w:val="4"/>
        </w:rPr>
        <w:t>Қ</w:t>
      </w:r>
      <w:r w:rsidRPr="00A751AE">
        <w:rPr>
          <w:spacing w:val="-1"/>
        </w:rPr>
        <w:t>а</w:t>
      </w:r>
      <w:r w:rsidRPr="00A751AE">
        <w:rPr>
          <w:spacing w:val="1"/>
        </w:rPr>
        <w:t>з</w:t>
      </w:r>
      <w:r w:rsidRPr="00A751AE">
        <w:t>ын</w:t>
      </w:r>
      <w:r w:rsidRPr="00A751AE">
        <w:rPr>
          <w:spacing w:val="4"/>
        </w:rPr>
        <w:t>а</w:t>
      </w:r>
      <w:proofErr w:type="spellEnd"/>
      <w:r w:rsidRPr="00A751AE">
        <w:rPr>
          <w:spacing w:val="-7"/>
        </w:rPr>
        <w:t>»</w:t>
      </w:r>
      <w:r w:rsidRPr="00A751AE">
        <w:t>;</w:t>
      </w:r>
    </w:p>
    <w:p w14:paraId="7F286F08" w14:textId="77777777" w:rsidR="005D7EF8" w:rsidRPr="00A751AE" w:rsidRDefault="005D7EF8" w:rsidP="005D7EF8">
      <w:pPr>
        <w:spacing w:line="276" w:lineRule="exact"/>
        <w:ind w:left="113" w:right="53" w:firstLine="567"/>
        <w:jc w:val="both"/>
      </w:pPr>
      <w:r w:rsidRPr="00A751AE">
        <w:rPr>
          <w:b/>
          <w:bCs/>
        </w:rPr>
        <w:t>Хо</w:t>
      </w:r>
      <w:r w:rsidRPr="00A751AE">
        <w:rPr>
          <w:b/>
          <w:bCs/>
          <w:spacing w:val="-1"/>
        </w:rPr>
        <w:t>л</w:t>
      </w:r>
      <w:r w:rsidRPr="00A751AE">
        <w:rPr>
          <w:b/>
          <w:bCs/>
          <w:spacing w:val="1"/>
        </w:rPr>
        <w:t>дин</w:t>
      </w:r>
      <w:r w:rsidRPr="00A751AE">
        <w:rPr>
          <w:b/>
          <w:bCs/>
        </w:rPr>
        <w:t>г</w:t>
      </w:r>
      <w:r w:rsidRPr="00A751AE">
        <w:rPr>
          <w:b/>
          <w:bCs/>
          <w:spacing w:val="4"/>
        </w:rPr>
        <w:t xml:space="preserve"> </w:t>
      </w:r>
      <w:proofErr w:type="gramStart"/>
      <w:r w:rsidRPr="00A751AE">
        <w:t xml:space="preserve">– </w:t>
      </w:r>
      <w:r w:rsidRPr="00A751AE">
        <w:rPr>
          <w:spacing w:val="5"/>
        </w:rPr>
        <w:t xml:space="preserve"> </w:t>
      </w:r>
      <w:r w:rsidRPr="00A751AE">
        <w:rPr>
          <w:spacing w:val="-1"/>
        </w:rPr>
        <w:t>совокупность</w:t>
      </w:r>
      <w:proofErr w:type="gramEnd"/>
      <w:r w:rsidRPr="00A751AE">
        <w:rPr>
          <w:spacing w:val="-1"/>
        </w:rPr>
        <w:t xml:space="preserve"> Фонда и юридических лиц, пятьдесят и более процентов голосующих акций (долей участия) которых прямо или косвенно принадлежат Фонду на праве собственности или доверительного управления. Косвенная принадлежность – принадлежность каждому последующему юридическому лицу пятидесяти и более процентов голосующих акций (долей участия) иного юридического лица на праве собственности или доверительного управления</w:t>
      </w:r>
      <w:r w:rsidRPr="00A751AE">
        <w:t>;</w:t>
      </w:r>
    </w:p>
    <w:p w14:paraId="4D387207" w14:textId="77777777" w:rsidR="005D7EF8" w:rsidRPr="00A751AE" w:rsidRDefault="005D7EF8" w:rsidP="005D7EF8">
      <w:pPr>
        <w:spacing w:line="276" w:lineRule="exact"/>
        <w:ind w:left="113" w:right="53" w:firstLine="567"/>
        <w:jc w:val="both"/>
        <w:rPr>
          <w:b/>
          <w:bCs/>
        </w:rPr>
      </w:pPr>
      <w:r w:rsidRPr="00A751AE">
        <w:rPr>
          <w:b/>
          <w:bCs/>
        </w:rPr>
        <w:t>О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  <w:spacing w:val="-1"/>
        </w:rPr>
        <w:t>г</w:t>
      </w:r>
      <w:r w:rsidRPr="00A751AE">
        <w:rPr>
          <w:b/>
          <w:bCs/>
        </w:rPr>
        <w:t>а</w:t>
      </w:r>
      <w:r w:rsidRPr="00A751AE">
        <w:rPr>
          <w:b/>
          <w:bCs/>
          <w:spacing w:val="1"/>
        </w:rPr>
        <w:t>ни</w:t>
      </w:r>
      <w:r w:rsidRPr="00A751AE">
        <w:rPr>
          <w:b/>
          <w:bCs/>
        </w:rPr>
        <w:t>з</w:t>
      </w:r>
      <w:r w:rsidRPr="00A751AE">
        <w:rPr>
          <w:b/>
          <w:bCs/>
          <w:spacing w:val="-3"/>
        </w:rPr>
        <w:t>а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</w:rPr>
        <w:t>ор зак</w:t>
      </w:r>
      <w:r w:rsidRPr="00A751AE">
        <w:rPr>
          <w:b/>
          <w:bCs/>
          <w:spacing w:val="-2"/>
        </w:rPr>
        <w:t>у</w:t>
      </w:r>
      <w:r w:rsidRPr="00A751AE">
        <w:rPr>
          <w:b/>
          <w:bCs/>
          <w:spacing w:val="1"/>
        </w:rPr>
        <w:t>п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</w:rPr>
        <w:t>к:</w:t>
      </w:r>
    </w:p>
    <w:p w14:paraId="097B5495" w14:textId="77777777" w:rsidR="005D7EF8" w:rsidRPr="00D41CD2" w:rsidRDefault="005D7EF8" w:rsidP="005D7EF8">
      <w:pPr>
        <w:spacing w:line="276" w:lineRule="exact"/>
        <w:ind w:left="113" w:right="53" w:firstLine="567"/>
        <w:jc w:val="both"/>
        <w:rPr>
          <w:spacing w:val="-1"/>
        </w:rPr>
      </w:pPr>
      <w:r w:rsidRPr="00A751AE">
        <w:rPr>
          <w:b/>
          <w:bCs/>
        </w:rPr>
        <w:t xml:space="preserve">– </w:t>
      </w:r>
      <w:r>
        <w:rPr>
          <w:b/>
          <w:bCs/>
        </w:rPr>
        <w:t xml:space="preserve">ТОО «КМГ </w:t>
      </w:r>
      <w:proofErr w:type="spellStart"/>
      <w:r>
        <w:rPr>
          <w:b/>
          <w:bCs/>
        </w:rPr>
        <w:t>Карачаганак</w:t>
      </w:r>
      <w:proofErr w:type="spellEnd"/>
      <w:r>
        <w:rPr>
          <w:b/>
          <w:bCs/>
        </w:rPr>
        <w:t>»</w:t>
      </w:r>
      <w:r w:rsidRPr="00A751AE">
        <w:rPr>
          <w:b/>
          <w:bCs/>
        </w:rPr>
        <w:t xml:space="preserve">, </w:t>
      </w:r>
      <w:r w:rsidRPr="00A751AE">
        <w:rPr>
          <w:b/>
          <w:bCs/>
          <w:spacing w:val="51"/>
        </w:rPr>
        <w:t xml:space="preserve"> </w:t>
      </w:r>
      <w:proofErr w:type="spellStart"/>
      <w:r w:rsidRPr="00D41CD2">
        <w:rPr>
          <w:spacing w:val="-1"/>
        </w:rPr>
        <w:t>г.Нур</w:t>
      </w:r>
      <w:proofErr w:type="spellEnd"/>
      <w:r w:rsidRPr="00D41CD2">
        <w:rPr>
          <w:spacing w:val="-1"/>
        </w:rPr>
        <w:t xml:space="preserve">-Султан,  ул. Д. </w:t>
      </w:r>
      <w:proofErr w:type="spellStart"/>
      <w:r w:rsidRPr="00D41CD2">
        <w:rPr>
          <w:spacing w:val="-1"/>
        </w:rPr>
        <w:t>Кунаева</w:t>
      </w:r>
      <w:proofErr w:type="spellEnd"/>
      <w:r w:rsidRPr="00D41CD2">
        <w:rPr>
          <w:spacing w:val="-1"/>
        </w:rPr>
        <w:t>, 8, Блок Б,  БИН  120540016236, банковские реквизиты: АО «</w:t>
      </w:r>
      <w:proofErr w:type="spellStart"/>
      <w:r w:rsidRPr="00D41CD2">
        <w:rPr>
          <w:spacing w:val="-1"/>
        </w:rPr>
        <w:t>ForteBank</w:t>
      </w:r>
      <w:proofErr w:type="spellEnd"/>
      <w:r w:rsidRPr="00D41CD2">
        <w:rPr>
          <w:spacing w:val="-1"/>
        </w:rPr>
        <w:t>»</w:t>
      </w:r>
      <w:r>
        <w:rPr>
          <w:spacing w:val="-1"/>
        </w:rPr>
        <w:t xml:space="preserve">, </w:t>
      </w:r>
      <w:r w:rsidRPr="00D41CD2">
        <w:rPr>
          <w:spacing w:val="-1"/>
        </w:rPr>
        <w:t>БИК IRTYKZKA</w:t>
      </w:r>
      <w:r>
        <w:rPr>
          <w:spacing w:val="-1"/>
        </w:rPr>
        <w:t xml:space="preserve">, </w:t>
      </w:r>
      <w:r w:rsidRPr="00D41CD2">
        <w:rPr>
          <w:spacing w:val="-1"/>
        </w:rPr>
        <w:t xml:space="preserve">ИИК KZ2896503F0007671993, электронный </w:t>
      </w:r>
      <w:r w:rsidRPr="00A751AE">
        <w:rPr>
          <w:spacing w:val="-1"/>
        </w:rPr>
        <w:t>а</w:t>
      </w:r>
      <w:r w:rsidRPr="00D41CD2">
        <w:rPr>
          <w:spacing w:val="-1"/>
        </w:rPr>
        <w:t>др</w:t>
      </w:r>
      <w:r w:rsidRPr="00A751AE">
        <w:rPr>
          <w:spacing w:val="-1"/>
        </w:rPr>
        <w:t>е</w:t>
      </w:r>
      <w:r w:rsidRPr="00D41CD2">
        <w:rPr>
          <w:spacing w:val="-1"/>
        </w:rPr>
        <w:t>с</w:t>
      </w:r>
      <w:r w:rsidRPr="00A751AE">
        <w:rPr>
          <w:spacing w:val="-1"/>
        </w:rPr>
        <w:t xml:space="preserve"> </w:t>
      </w:r>
      <w:r w:rsidRPr="00D41CD2">
        <w:rPr>
          <w:spacing w:val="-1"/>
        </w:rPr>
        <w:t>в</w:t>
      </w:r>
      <w:r w:rsidRPr="00A751AE">
        <w:rPr>
          <w:spacing w:val="-1"/>
        </w:rPr>
        <w:t>е</w:t>
      </w:r>
      <w:r w:rsidRPr="00D41CD2">
        <w:rPr>
          <w:spacing w:val="-1"/>
        </w:rPr>
        <w:t>б</w:t>
      </w:r>
      <w:r w:rsidRPr="00A751AE">
        <w:rPr>
          <w:spacing w:val="-1"/>
        </w:rPr>
        <w:t>-са</w:t>
      </w:r>
      <w:r w:rsidRPr="00D41CD2">
        <w:rPr>
          <w:spacing w:val="-1"/>
        </w:rPr>
        <w:t>йта - www.kmg</w:t>
      </w:r>
      <w:r>
        <w:rPr>
          <w:spacing w:val="-1"/>
        </w:rPr>
        <w:t>-</w:t>
      </w:r>
      <w:r>
        <w:rPr>
          <w:spacing w:val="-1"/>
          <w:lang w:val="en-US"/>
        </w:rPr>
        <w:t>k</w:t>
      </w:r>
      <w:r w:rsidRPr="00D41CD2">
        <w:rPr>
          <w:spacing w:val="-1"/>
        </w:rPr>
        <w:t>.</w:t>
      </w:r>
      <w:proofErr w:type="spellStart"/>
      <w:r w:rsidRPr="00D41CD2">
        <w:rPr>
          <w:spacing w:val="-1"/>
        </w:rPr>
        <w:t>kz</w:t>
      </w:r>
      <w:proofErr w:type="spellEnd"/>
      <w:r>
        <w:rPr>
          <w:spacing w:val="-1"/>
        </w:rPr>
        <w:t>.</w:t>
      </w:r>
    </w:p>
    <w:p w14:paraId="5B688A08" w14:textId="77777777" w:rsidR="005D7EF8" w:rsidRPr="00A751AE" w:rsidRDefault="005D7EF8" w:rsidP="005D7EF8">
      <w:pPr>
        <w:ind w:left="113" w:right="-20"/>
        <w:rPr>
          <w:bCs/>
        </w:rPr>
      </w:pPr>
      <w:r w:rsidRPr="00A751AE">
        <w:rPr>
          <w:b/>
          <w:bCs/>
        </w:rPr>
        <w:tab/>
        <w:t xml:space="preserve">значительное снижение курса национальной валюты Республики Казахстан – </w:t>
      </w:r>
      <w:r w:rsidRPr="00A751AE">
        <w:rPr>
          <w:bCs/>
        </w:rPr>
        <w:t>снижение курса национальной валюты Республики Казахстан по отношению к иностранным валютам на 20 (двадцать) и более процентов.</w:t>
      </w:r>
    </w:p>
    <w:p w14:paraId="54842DB2" w14:textId="77777777" w:rsidR="005D7EF8" w:rsidRPr="00A751AE" w:rsidRDefault="005D7EF8" w:rsidP="005D7EF8">
      <w:pPr>
        <w:ind w:left="113" w:right="-20"/>
        <w:jc w:val="both"/>
        <w:rPr>
          <w:bCs/>
        </w:rPr>
      </w:pPr>
      <w:r w:rsidRPr="00A751AE">
        <w:rPr>
          <w:bCs/>
        </w:rPr>
        <w:tab/>
        <w:t>Определение значительного снижения курса национальной валюты Республики Казахстан осуществляется на основании следующей формулы:</w:t>
      </w:r>
    </w:p>
    <w:p w14:paraId="6DD9E8DE" w14:textId="77777777" w:rsidR="005D7EF8" w:rsidRPr="00A751AE" w:rsidRDefault="005D7EF8" w:rsidP="005D7EF8">
      <w:pPr>
        <w:ind w:left="113" w:right="-20"/>
        <w:jc w:val="both"/>
        <w:rPr>
          <w:bCs/>
        </w:rPr>
      </w:pPr>
      <w:r w:rsidRPr="00A751AE">
        <w:rPr>
          <w:bCs/>
        </w:rPr>
        <w:tab/>
        <w:t>[(R</w:t>
      </w:r>
      <w:r w:rsidRPr="00A751AE">
        <w:rPr>
          <w:bCs/>
          <w:vertAlign w:val="subscript"/>
        </w:rPr>
        <w:t>1</w:t>
      </w:r>
      <w:r w:rsidRPr="00A751AE">
        <w:rPr>
          <w:bCs/>
        </w:rPr>
        <w:t>-R</w:t>
      </w:r>
      <w:r w:rsidRPr="00A751AE">
        <w:rPr>
          <w:bCs/>
          <w:vertAlign w:val="subscript"/>
        </w:rPr>
        <w:t>0</w:t>
      </w:r>
      <w:r w:rsidRPr="00A751AE">
        <w:rPr>
          <w:bCs/>
        </w:rPr>
        <w:t>)/R</w:t>
      </w:r>
      <w:r w:rsidRPr="00A751AE">
        <w:rPr>
          <w:bCs/>
          <w:vertAlign w:val="subscript"/>
        </w:rPr>
        <w:t>0</w:t>
      </w:r>
      <w:r w:rsidRPr="00A751AE">
        <w:rPr>
          <w:bCs/>
        </w:rPr>
        <w:t>] x 100, где</w:t>
      </w:r>
    </w:p>
    <w:p w14:paraId="5BC7795E" w14:textId="77777777" w:rsidR="005D7EF8" w:rsidRPr="00A751AE" w:rsidRDefault="005D7EF8" w:rsidP="005D7EF8">
      <w:pPr>
        <w:ind w:left="113" w:right="-20"/>
        <w:jc w:val="both"/>
        <w:rPr>
          <w:bCs/>
        </w:rPr>
      </w:pPr>
      <w:r w:rsidRPr="00A751AE">
        <w:rPr>
          <w:bCs/>
        </w:rPr>
        <w:tab/>
        <w:t>R</w:t>
      </w:r>
      <w:r w:rsidRPr="00A751AE">
        <w:rPr>
          <w:bCs/>
          <w:vertAlign w:val="subscript"/>
        </w:rPr>
        <w:t xml:space="preserve">0 </w:t>
      </w:r>
      <w:r w:rsidRPr="00A751AE">
        <w:rPr>
          <w:bCs/>
        </w:rPr>
        <w:t>– начальное значение официального курса национальной валюты;</w:t>
      </w:r>
    </w:p>
    <w:p w14:paraId="0E87FA92" w14:textId="77777777" w:rsidR="005D7EF8" w:rsidRPr="00A751AE" w:rsidRDefault="005D7EF8" w:rsidP="005D7EF8">
      <w:pPr>
        <w:ind w:left="113" w:right="-20"/>
        <w:jc w:val="both"/>
        <w:rPr>
          <w:bCs/>
        </w:rPr>
      </w:pPr>
      <w:r w:rsidRPr="00A751AE">
        <w:rPr>
          <w:bCs/>
        </w:rPr>
        <w:tab/>
        <w:t>R</w:t>
      </w:r>
      <w:r w:rsidRPr="00A751AE">
        <w:rPr>
          <w:bCs/>
          <w:vertAlign w:val="subscript"/>
        </w:rPr>
        <w:t xml:space="preserve">1 </w:t>
      </w:r>
      <w:r w:rsidRPr="00A751AE">
        <w:rPr>
          <w:bCs/>
        </w:rPr>
        <w:t xml:space="preserve">– конечное значение официального курса национальной валюты; </w:t>
      </w:r>
    </w:p>
    <w:p w14:paraId="11A46A57" w14:textId="77777777" w:rsidR="005D7EF8" w:rsidRPr="00A751AE" w:rsidRDefault="005D7EF8" w:rsidP="005D7EF8">
      <w:pPr>
        <w:spacing w:line="276" w:lineRule="exact"/>
        <w:ind w:left="71" w:right="-20"/>
        <w:jc w:val="both"/>
      </w:pPr>
      <w:r w:rsidRPr="00A751AE">
        <w:rPr>
          <w:b/>
          <w:bCs/>
        </w:rPr>
        <w:tab/>
        <w:t>О</w:t>
      </w:r>
      <w:r w:rsidRPr="00A751AE">
        <w:rPr>
          <w:b/>
          <w:bCs/>
          <w:spacing w:val="-2"/>
        </w:rPr>
        <w:t>ф</w:t>
      </w:r>
      <w:r w:rsidRPr="00A751AE">
        <w:rPr>
          <w:b/>
          <w:bCs/>
          <w:spacing w:val="1"/>
        </w:rPr>
        <w:t>ици</w:t>
      </w:r>
      <w:r w:rsidRPr="00A751AE">
        <w:rPr>
          <w:b/>
          <w:bCs/>
        </w:rPr>
        <w:t>аль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ый</w:t>
      </w:r>
      <w:r w:rsidRPr="00A751AE">
        <w:rPr>
          <w:b/>
          <w:bCs/>
          <w:spacing w:val="22"/>
        </w:rPr>
        <w:t xml:space="preserve"> 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</w:rPr>
        <w:t>у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</w:rPr>
        <w:t>с</w:t>
      </w:r>
      <w:r w:rsidRPr="00A751AE">
        <w:rPr>
          <w:b/>
          <w:bCs/>
          <w:spacing w:val="23"/>
        </w:rPr>
        <w:t xml:space="preserve"> </w:t>
      </w:r>
      <w:r w:rsidRPr="00A751AE">
        <w:rPr>
          <w:b/>
          <w:bCs/>
          <w:spacing w:val="-1"/>
        </w:rPr>
        <w:t>н</w:t>
      </w:r>
      <w:r w:rsidRPr="00A751AE">
        <w:rPr>
          <w:b/>
          <w:bCs/>
        </w:rPr>
        <w:t>а</w:t>
      </w:r>
      <w:r w:rsidRPr="00A751AE">
        <w:rPr>
          <w:b/>
          <w:bCs/>
          <w:spacing w:val="1"/>
        </w:rPr>
        <w:t>ци</w:t>
      </w:r>
      <w:r w:rsidRPr="00A751AE">
        <w:rPr>
          <w:b/>
          <w:bCs/>
        </w:rPr>
        <w:t>о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ал</w:t>
      </w:r>
      <w:r w:rsidRPr="00A751AE">
        <w:rPr>
          <w:b/>
          <w:bCs/>
          <w:spacing w:val="-2"/>
        </w:rPr>
        <w:t>ь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ой</w:t>
      </w:r>
      <w:r w:rsidRPr="00A751AE">
        <w:rPr>
          <w:b/>
          <w:bCs/>
          <w:spacing w:val="24"/>
        </w:rPr>
        <w:t xml:space="preserve"> </w:t>
      </w:r>
      <w:r w:rsidRPr="00A751AE">
        <w:rPr>
          <w:b/>
          <w:bCs/>
        </w:rPr>
        <w:t>вал</w:t>
      </w:r>
      <w:r w:rsidRPr="00A751AE">
        <w:rPr>
          <w:b/>
          <w:bCs/>
          <w:spacing w:val="-4"/>
        </w:rPr>
        <w:t>ю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</w:rPr>
        <w:t>ы</w:t>
      </w:r>
      <w:r w:rsidRPr="00A751AE">
        <w:rPr>
          <w:b/>
          <w:bCs/>
          <w:spacing w:val="21"/>
        </w:rPr>
        <w:t xml:space="preserve"> </w:t>
      </w:r>
      <w:r w:rsidRPr="00A751AE">
        <w:rPr>
          <w:b/>
          <w:bCs/>
          <w:spacing w:val="-3"/>
        </w:rPr>
        <w:t>Р</w:t>
      </w:r>
      <w:r w:rsidRPr="00A751AE">
        <w:rPr>
          <w:b/>
          <w:bCs/>
          <w:spacing w:val="-1"/>
        </w:rPr>
        <w:t>ес</w:t>
      </w:r>
      <w:r w:rsidRPr="00A751AE">
        <w:rPr>
          <w:b/>
          <w:bCs/>
          <w:spacing w:val="1"/>
        </w:rPr>
        <w:t>п</w:t>
      </w:r>
      <w:r w:rsidRPr="00A751AE">
        <w:rPr>
          <w:b/>
          <w:bCs/>
        </w:rPr>
        <w:t>убли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</w:rPr>
        <w:t>и</w:t>
      </w:r>
      <w:r w:rsidRPr="00A751AE">
        <w:rPr>
          <w:b/>
          <w:bCs/>
          <w:spacing w:val="24"/>
        </w:rPr>
        <w:t xml:space="preserve"> 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</w:rPr>
        <w:t>азах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-2"/>
        </w:rPr>
        <w:t>а</w:t>
      </w:r>
      <w:r w:rsidRPr="00A751AE">
        <w:rPr>
          <w:b/>
          <w:bCs/>
        </w:rPr>
        <w:t>н</w:t>
      </w:r>
      <w:r w:rsidRPr="00A751AE">
        <w:rPr>
          <w:b/>
          <w:bCs/>
          <w:spacing w:val="31"/>
        </w:rPr>
        <w:t xml:space="preserve"> </w:t>
      </w:r>
      <w:r w:rsidRPr="00A751AE">
        <w:t>–</w:t>
      </w:r>
      <w:r w:rsidRPr="00A751AE">
        <w:rPr>
          <w:spacing w:val="25"/>
        </w:rPr>
        <w:t xml:space="preserve"> </w:t>
      </w:r>
      <w:r w:rsidRPr="00A751AE">
        <w:t>официальный курс, установленный Национальным Банком Республики Казахстан в соответствии с законодательством Республики Казахстан;</w:t>
      </w:r>
    </w:p>
    <w:p w14:paraId="6B904107" w14:textId="77777777" w:rsidR="005D7EF8" w:rsidRPr="00A751AE" w:rsidRDefault="005D7EF8" w:rsidP="005D7EF8">
      <w:pPr>
        <w:spacing w:line="276" w:lineRule="exact"/>
        <w:ind w:left="71" w:right="-20"/>
        <w:jc w:val="both"/>
      </w:pPr>
      <w:r w:rsidRPr="00A751AE">
        <w:rPr>
          <w:b/>
          <w:bCs/>
        </w:rPr>
        <w:tab/>
        <w:t>По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  <w:spacing w:val="-1"/>
        </w:rPr>
        <w:t>ц</w:t>
      </w:r>
      <w:r w:rsidRPr="00A751AE">
        <w:rPr>
          <w:b/>
          <w:bCs/>
          <w:spacing w:val="1"/>
        </w:rPr>
        <w:t>и</w:t>
      </w:r>
      <w:r w:rsidRPr="00A751AE">
        <w:rPr>
          <w:b/>
          <w:bCs/>
        </w:rPr>
        <w:t>аль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  <w:spacing w:val="-3"/>
        </w:rPr>
        <w:t>ы</w:t>
      </w:r>
      <w:r w:rsidRPr="00A751AE">
        <w:rPr>
          <w:b/>
          <w:bCs/>
        </w:rPr>
        <w:t xml:space="preserve">й </w:t>
      </w:r>
      <w:r w:rsidRPr="00A751AE">
        <w:rPr>
          <w:b/>
          <w:bCs/>
          <w:spacing w:val="-1"/>
        </w:rPr>
        <w:t>п</w:t>
      </w:r>
      <w:r w:rsidRPr="00A751AE">
        <w:rPr>
          <w:b/>
          <w:bCs/>
        </w:rPr>
        <w:t>о</w:t>
      </w:r>
      <w:r w:rsidRPr="00A751AE">
        <w:rPr>
          <w:b/>
          <w:bCs/>
          <w:spacing w:val="-1"/>
        </w:rPr>
        <w:t>с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</w:rPr>
        <w:t>а</w:t>
      </w:r>
      <w:r w:rsidRPr="00A751AE">
        <w:rPr>
          <w:b/>
          <w:bCs/>
          <w:spacing w:val="2"/>
        </w:rPr>
        <w:t>в</w:t>
      </w:r>
      <w:r w:rsidRPr="00A751AE">
        <w:rPr>
          <w:b/>
          <w:bCs/>
          <w:spacing w:val="-6"/>
        </w:rPr>
        <w:t>щ</w:t>
      </w:r>
      <w:r w:rsidRPr="00A751AE">
        <w:rPr>
          <w:b/>
          <w:bCs/>
          <w:spacing w:val="1"/>
        </w:rPr>
        <w:t>и</w:t>
      </w:r>
      <w:r w:rsidRPr="00A751AE">
        <w:rPr>
          <w:b/>
          <w:bCs/>
        </w:rPr>
        <w:t xml:space="preserve">к </w:t>
      </w:r>
      <w:r w:rsidRPr="00A751AE">
        <w:t xml:space="preserve">– физическое лицо, осуществляющее предпринимательскую деятельность, юридическое лицо (за исключением государственных учреждений, если иное не </w:t>
      </w:r>
      <w:r w:rsidRPr="00A751AE">
        <w:lastRenderedPageBreak/>
        <w:t>установлено для них законами Республики Казахстан), временное объединение юридических лиц (консорциум), претендующее на заключение договора о закупках;</w:t>
      </w:r>
    </w:p>
    <w:p w14:paraId="181B96F1" w14:textId="77777777" w:rsidR="005D7EF8" w:rsidRPr="00A751AE" w:rsidRDefault="005D7EF8" w:rsidP="005D7EF8">
      <w:pPr>
        <w:spacing w:line="276" w:lineRule="exact"/>
        <w:ind w:left="113" w:right="55"/>
        <w:jc w:val="both"/>
      </w:pPr>
      <w:r w:rsidRPr="00A751AE">
        <w:tab/>
      </w:r>
      <w:r w:rsidRPr="00A751AE">
        <w:rPr>
          <w:b/>
          <w:bCs/>
        </w:rPr>
        <w:t>Пос</w:t>
      </w:r>
      <w:r w:rsidRPr="00A751AE">
        <w:rPr>
          <w:b/>
          <w:bCs/>
          <w:spacing w:val="1"/>
        </w:rPr>
        <w:t>т</w:t>
      </w:r>
      <w:r w:rsidRPr="00A751AE">
        <w:rPr>
          <w:b/>
          <w:bCs/>
        </w:rPr>
        <w:t>а</w:t>
      </w:r>
      <w:r w:rsidRPr="00A751AE">
        <w:rPr>
          <w:b/>
          <w:bCs/>
          <w:spacing w:val="2"/>
        </w:rPr>
        <w:t>в</w:t>
      </w:r>
      <w:r w:rsidRPr="00A751AE">
        <w:rPr>
          <w:b/>
          <w:bCs/>
          <w:spacing w:val="-6"/>
        </w:rPr>
        <w:t>щ</w:t>
      </w:r>
      <w:r w:rsidRPr="00A751AE">
        <w:rPr>
          <w:b/>
          <w:bCs/>
          <w:spacing w:val="1"/>
        </w:rPr>
        <w:t>и</w:t>
      </w:r>
      <w:r w:rsidRPr="00A751AE">
        <w:rPr>
          <w:b/>
          <w:bCs/>
        </w:rPr>
        <w:t>к</w:t>
      </w:r>
      <w:r w:rsidRPr="00A751AE">
        <w:rPr>
          <w:b/>
          <w:bCs/>
          <w:spacing w:val="4"/>
        </w:rPr>
        <w:t xml:space="preserve"> </w:t>
      </w:r>
      <w:r w:rsidRPr="00A751AE">
        <w:t>–</w:t>
      </w:r>
      <w:r w:rsidRPr="00A751AE">
        <w:rPr>
          <w:spacing w:val="2"/>
        </w:rPr>
        <w:t xml:space="preserve"> </w:t>
      </w:r>
      <w:r w:rsidRPr="00A751AE">
        <w:rPr>
          <w:spacing w:val="-2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выступающее в качестве контрагента Заказчика в заключенном с ним договоре о закупках;</w:t>
      </w:r>
    </w:p>
    <w:p w14:paraId="757A5684" w14:textId="77777777" w:rsidR="005D7EF8" w:rsidRPr="00A751AE" w:rsidRDefault="005D7EF8" w:rsidP="005D7EF8">
      <w:pPr>
        <w:spacing w:line="276" w:lineRule="exact"/>
        <w:ind w:left="113" w:right="55"/>
        <w:jc w:val="both"/>
      </w:pPr>
      <w:r w:rsidRPr="00A751AE">
        <w:rPr>
          <w:b/>
          <w:bCs/>
        </w:rPr>
        <w:tab/>
        <w:t>Сис</w:t>
      </w:r>
      <w:r w:rsidRPr="00A751AE">
        <w:rPr>
          <w:b/>
          <w:bCs/>
          <w:spacing w:val="1"/>
        </w:rPr>
        <w:t>т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</w:rPr>
        <w:t>ма</w:t>
      </w:r>
      <w:r w:rsidRPr="00A751AE">
        <w:rPr>
          <w:b/>
          <w:bCs/>
          <w:spacing w:val="1"/>
        </w:rPr>
        <w:t xml:space="preserve"> </w:t>
      </w:r>
      <w:r w:rsidRPr="00A751AE">
        <w:t>–</w:t>
      </w:r>
      <w:r w:rsidRPr="00A751AE">
        <w:rPr>
          <w:spacing w:val="1"/>
        </w:rPr>
        <w:t xml:space="preserve"> </w:t>
      </w:r>
      <w:r w:rsidRPr="00A751AE">
        <w:rPr>
          <w:spacing w:val="-1"/>
        </w:rPr>
        <w:t>информационная система Фонда, обеспечивающая проведение электронных закупок в соответствии с Порядком и Стандартом (zakup.sk.kz)</w:t>
      </w:r>
      <w:r w:rsidRPr="00A751AE">
        <w:t>;</w:t>
      </w:r>
    </w:p>
    <w:p w14:paraId="71560448" w14:textId="77777777" w:rsidR="005D7EF8" w:rsidRPr="00A751AE" w:rsidRDefault="005D7EF8" w:rsidP="005D7EF8">
      <w:pPr>
        <w:spacing w:line="276" w:lineRule="exact"/>
        <w:ind w:left="113" w:right="56" w:firstLine="596"/>
        <w:jc w:val="both"/>
      </w:pPr>
      <w:r w:rsidRPr="00A751AE">
        <w:rPr>
          <w:b/>
          <w:bCs/>
        </w:rPr>
        <w:t>Эл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  <w:spacing w:val="1"/>
        </w:rPr>
        <w:t>нн</w:t>
      </w:r>
      <w:r w:rsidRPr="00A751AE">
        <w:rPr>
          <w:b/>
          <w:bCs/>
        </w:rPr>
        <w:t>ый</w:t>
      </w:r>
      <w:r w:rsidRPr="00A751AE">
        <w:rPr>
          <w:b/>
          <w:bCs/>
          <w:spacing w:val="1"/>
        </w:rPr>
        <w:t xml:space="preserve"> д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</w:rPr>
        <w:t>у</w:t>
      </w:r>
      <w:r w:rsidRPr="00A751AE">
        <w:rPr>
          <w:b/>
          <w:bCs/>
          <w:spacing w:val="-3"/>
        </w:rPr>
        <w:t>м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н</w:t>
      </w:r>
      <w:r w:rsidRPr="00A751AE">
        <w:rPr>
          <w:b/>
          <w:bCs/>
        </w:rPr>
        <w:t>т</w:t>
      </w:r>
      <w:r w:rsidRPr="00A751AE">
        <w:rPr>
          <w:b/>
          <w:bCs/>
          <w:spacing w:val="8"/>
        </w:rPr>
        <w:t xml:space="preserve"> </w:t>
      </w:r>
      <w:r w:rsidRPr="00A751AE">
        <w:t>- документ, в котором информация предоставлена в электронно-цифровой форме и удостоверена посредством электронной цифровой подписи;</w:t>
      </w:r>
    </w:p>
    <w:p w14:paraId="0BEF2197" w14:textId="77777777" w:rsidR="005D7EF8" w:rsidRPr="00A751AE" w:rsidRDefault="005D7EF8" w:rsidP="005D7EF8">
      <w:pPr>
        <w:spacing w:line="276" w:lineRule="exact"/>
        <w:ind w:left="113" w:right="49" w:firstLine="596"/>
        <w:jc w:val="both"/>
      </w:pPr>
      <w:r w:rsidRPr="00A751AE">
        <w:rPr>
          <w:b/>
          <w:bCs/>
        </w:rPr>
        <w:t>Эл</w:t>
      </w:r>
      <w:r w:rsidRPr="00A751AE">
        <w:rPr>
          <w:b/>
          <w:bCs/>
          <w:spacing w:val="-1"/>
        </w:rPr>
        <w:t>е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  <w:spacing w:val="2"/>
        </w:rPr>
        <w:t>т</w:t>
      </w:r>
      <w:r w:rsidRPr="00A751AE">
        <w:rPr>
          <w:b/>
          <w:bCs/>
          <w:spacing w:val="1"/>
        </w:rPr>
        <w:t>р</w:t>
      </w:r>
      <w:r w:rsidRPr="00A751AE">
        <w:rPr>
          <w:b/>
          <w:bCs/>
          <w:spacing w:val="-2"/>
        </w:rPr>
        <w:t>о</w:t>
      </w:r>
      <w:r w:rsidRPr="00A751AE">
        <w:rPr>
          <w:b/>
          <w:bCs/>
          <w:spacing w:val="1"/>
        </w:rPr>
        <w:t>нн</w:t>
      </w:r>
      <w:r w:rsidRPr="00A751AE">
        <w:rPr>
          <w:b/>
          <w:bCs/>
        </w:rPr>
        <w:t xml:space="preserve">ая </w:t>
      </w:r>
      <w:r w:rsidRPr="00A751AE">
        <w:rPr>
          <w:b/>
          <w:bCs/>
          <w:spacing w:val="1"/>
        </w:rPr>
        <w:t>к</w:t>
      </w:r>
      <w:r w:rsidRPr="00A751AE">
        <w:rPr>
          <w:b/>
          <w:bCs/>
        </w:rPr>
        <w:t>о</w:t>
      </w:r>
      <w:r w:rsidRPr="00A751AE">
        <w:rPr>
          <w:b/>
          <w:bCs/>
          <w:spacing w:val="1"/>
        </w:rPr>
        <w:t>пи</w:t>
      </w:r>
      <w:r w:rsidRPr="00A751AE">
        <w:rPr>
          <w:b/>
          <w:bCs/>
        </w:rPr>
        <w:t>я</w:t>
      </w:r>
      <w:r w:rsidRPr="00A751AE">
        <w:rPr>
          <w:b/>
          <w:bCs/>
          <w:spacing w:val="3"/>
        </w:rPr>
        <w:t xml:space="preserve"> </w:t>
      </w:r>
      <w:r w:rsidRPr="00A751AE">
        <w:t>–</w:t>
      </w:r>
      <w:r w:rsidRPr="00A751AE">
        <w:rPr>
          <w:spacing w:val="3"/>
        </w:rPr>
        <w:t xml:space="preserve"> </w:t>
      </w:r>
      <w:r w:rsidRPr="00A751AE">
        <w:t>документ, полностью воспроизводящий содержание подлинного документа (нотариально заверенной копии) в электронно-цифровой форме, удостоверенный электронной цифровой подписью Пользователя;</w:t>
      </w:r>
    </w:p>
    <w:p w14:paraId="6FE852D4" w14:textId="77777777" w:rsidR="005D7EF8" w:rsidRPr="00A751AE" w:rsidRDefault="005D7EF8" w:rsidP="005D7EF8">
      <w:pPr>
        <w:spacing w:line="276" w:lineRule="exact"/>
        <w:ind w:left="113" w:right="49" w:firstLine="596"/>
        <w:jc w:val="both"/>
        <w:rPr>
          <w:b/>
          <w:bCs/>
        </w:rPr>
      </w:pPr>
      <w:r w:rsidRPr="00A751AE">
        <w:rPr>
          <w:b/>
        </w:rPr>
        <w:t xml:space="preserve">ЭЦП - </w:t>
      </w:r>
      <w:r w:rsidRPr="00A751AE">
        <w:t>электронно-цифровая подпись,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14:paraId="3EBE78F7" w14:textId="77777777" w:rsidR="005D7EF8" w:rsidRPr="00A751AE" w:rsidRDefault="005D7EF8" w:rsidP="005D7EF8">
      <w:pPr>
        <w:ind w:firstLine="567"/>
        <w:jc w:val="center"/>
        <w:rPr>
          <w:b/>
        </w:rPr>
      </w:pPr>
    </w:p>
    <w:p w14:paraId="2C336F94" w14:textId="77777777" w:rsidR="005D7EF8" w:rsidRPr="00A751AE" w:rsidRDefault="005D7EF8" w:rsidP="005D7EF8">
      <w:pPr>
        <w:widowControl w:val="0"/>
        <w:jc w:val="both"/>
        <w:rPr>
          <w:lang w:eastAsia="en-US"/>
        </w:rPr>
      </w:pPr>
      <w:r w:rsidRPr="00A751AE">
        <w:rPr>
          <w:lang w:eastAsia="en-US"/>
        </w:rPr>
        <w:tab/>
        <w:t>Потенциальный поставщик не вправе участвовать в проводимых закупках, если:</w:t>
      </w:r>
    </w:p>
    <w:p w14:paraId="4C4C3E0E" w14:textId="77777777" w:rsidR="005D7EF8" w:rsidRPr="00A751AE" w:rsidRDefault="005D7EF8" w:rsidP="005D7EF8">
      <w:pPr>
        <w:widowControl w:val="0"/>
        <w:jc w:val="both"/>
        <w:rPr>
          <w:lang w:eastAsia="en-US"/>
        </w:rPr>
      </w:pPr>
      <w:r w:rsidRPr="00A751AE">
        <w:rPr>
          <w:lang w:eastAsia="en-US"/>
        </w:rPr>
        <w:tab/>
        <w:t xml:space="preserve">1) потенциальный поставщик либо его субподрядчик (соисполнитель) либо юридическое лицо, входящее в консорциум, состоит в Перечне ненадежных потенциальных поставщиков (поставщиков) Холдинга и (или) в Реестре недобросовестных участников государственных закупок и (или) в Перечне </w:t>
      </w:r>
      <w:proofErr w:type="spellStart"/>
      <w:r w:rsidRPr="00A751AE">
        <w:rPr>
          <w:lang w:eastAsia="en-US"/>
        </w:rPr>
        <w:t>лжепредприятий</w:t>
      </w:r>
      <w:proofErr w:type="spellEnd"/>
      <w:r w:rsidRPr="00A751AE">
        <w:rPr>
          <w:lang w:eastAsia="en-US"/>
        </w:rPr>
        <w:t xml:space="preserve"> и (или) в реестре недобросовестных участников закупок, предусмотренном законодательством Республики Казахстан о государственном имуществе, и (или) в Списке банкротов, в отношении которых решения суда о признании их банкротами вступили в законную силу;</w:t>
      </w:r>
    </w:p>
    <w:p w14:paraId="23F58F41" w14:textId="77777777" w:rsidR="005D7EF8" w:rsidRPr="00A751AE" w:rsidRDefault="005D7EF8" w:rsidP="005D7EF8">
      <w:pPr>
        <w:widowControl w:val="0"/>
        <w:jc w:val="both"/>
        <w:rPr>
          <w:lang w:eastAsia="en-US"/>
        </w:rPr>
      </w:pPr>
      <w:r w:rsidRPr="00A751AE">
        <w:rPr>
          <w:lang w:eastAsia="en-US"/>
        </w:rPr>
        <w:tab/>
        <w:t>2) потенциальный поставщик и (или) привлекаемый им субподрядчик (соисполнитель), и (или) их руководитель и (или) учредители (акционеры)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Казахстан;</w:t>
      </w:r>
    </w:p>
    <w:p w14:paraId="1E85873C" w14:textId="77777777" w:rsidR="005D7EF8" w:rsidRPr="00A751AE" w:rsidRDefault="005D7EF8" w:rsidP="005D7EF8">
      <w:pPr>
        <w:widowControl w:val="0"/>
        <w:jc w:val="both"/>
        <w:rPr>
          <w:lang w:eastAsia="en-US"/>
        </w:rPr>
      </w:pPr>
      <w:r w:rsidRPr="00A751AE">
        <w:rPr>
          <w:lang w:eastAsia="en-US"/>
        </w:rPr>
        <w:tab/>
        <w:t>3) потенциальный поставщик является юридическим лицом, местом регистрации которого являются государство или территория, включенные в утверждаемый уполномоченным органом, осуществляющим руководство в сфере обеспечения поступлений налогов и платежей в бюджет, перечень государств с льготным налогообложением (офшорных зон).</w:t>
      </w:r>
    </w:p>
    <w:p w14:paraId="03A1BB61" w14:textId="77777777" w:rsidR="005D7EF8" w:rsidRDefault="005D7EF8" w:rsidP="005D7EF8">
      <w:pPr>
        <w:tabs>
          <w:tab w:val="left" w:pos="4500"/>
        </w:tabs>
        <w:spacing w:before="120"/>
        <w:ind w:firstLine="539"/>
        <w:jc w:val="both"/>
      </w:pPr>
      <w:r w:rsidRPr="00A751AE">
        <w:rPr>
          <w:bCs/>
        </w:rPr>
        <w:t>Потенциальный поставщик – участник переговоров несет все расходы, связанные с его участием в закупках услуг по предоставлению лицензий на право использования юридической справочно-информационной системы</w:t>
      </w:r>
      <w:r w:rsidRPr="00A751AE">
        <w:rPr>
          <w:color w:val="000000"/>
        </w:rPr>
        <w:t>,</w:t>
      </w:r>
      <w:r w:rsidRPr="00A751AE">
        <w:rPr>
          <w:color w:val="FF0000"/>
        </w:rPr>
        <w:t xml:space="preserve"> </w:t>
      </w:r>
      <w:r w:rsidRPr="00A751AE">
        <w:t>способом тендера путем проведения конкурентных переговоров</w:t>
      </w:r>
      <w:r w:rsidRPr="00A751AE">
        <w:rPr>
          <w:b/>
          <w:bCs/>
          <w:i/>
        </w:rPr>
        <w:t xml:space="preserve"> </w:t>
      </w:r>
      <w:r w:rsidRPr="00A751AE">
        <w:rPr>
          <w:bCs/>
        </w:rPr>
        <w:t>(далее – конкурентные переговоры)</w:t>
      </w:r>
      <w:r w:rsidRPr="00A751AE">
        <w:t>. Заказчик (переговорная группа) не несет обязательства по возмещению этих расходов независимо от итогов конкурентных переговоров.</w:t>
      </w:r>
    </w:p>
    <w:p w14:paraId="6E9E1CA7" w14:textId="77777777" w:rsidR="005D7EF8" w:rsidRPr="00A751AE" w:rsidRDefault="005D7EF8" w:rsidP="005D7EF8">
      <w:pPr>
        <w:tabs>
          <w:tab w:val="left" w:pos="4500"/>
        </w:tabs>
        <w:spacing w:before="120"/>
        <w:ind w:firstLine="539"/>
        <w:jc w:val="both"/>
      </w:pPr>
      <w:r w:rsidRPr="006D70F8">
        <w:t>Конкурентные переговоры проводятся в информационной системе электронных закупок на портале www.zakup.sk.kz.</w:t>
      </w:r>
    </w:p>
    <w:p w14:paraId="118AD69D" w14:textId="77777777" w:rsidR="005D7EF8" w:rsidRPr="00A751AE" w:rsidRDefault="005D7EF8" w:rsidP="005D7EF8">
      <w:pPr>
        <w:tabs>
          <w:tab w:val="left" w:pos="4500"/>
        </w:tabs>
        <w:ind w:firstLine="540"/>
        <w:jc w:val="both"/>
      </w:pPr>
    </w:p>
    <w:p w14:paraId="1657F54B" w14:textId="77777777" w:rsidR="005D7EF8" w:rsidRPr="00A751AE" w:rsidRDefault="005D7EF8" w:rsidP="005D7EF8">
      <w:pPr>
        <w:pStyle w:val="2"/>
        <w:numPr>
          <w:ilvl w:val="0"/>
          <w:numId w:val="4"/>
        </w:numPr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751AE">
        <w:rPr>
          <w:rFonts w:ascii="Times New Roman" w:hAnsi="Times New Roman" w:cs="Times New Roman"/>
          <w:i w:val="0"/>
          <w:sz w:val="24"/>
          <w:szCs w:val="24"/>
        </w:rPr>
        <w:t xml:space="preserve">Раздел </w:t>
      </w:r>
    </w:p>
    <w:p w14:paraId="4769F0D3" w14:textId="77777777" w:rsidR="005D7EF8" w:rsidRPr="00A751AE" w:rsidRDefault="005D7EF8" w:rsidP="005D7EF8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751AE">
        <w:rPr>
          <w:rFonts w:ascii="Times New Roman" w:hAnsi="Times New Roman" w:cs="Times New Roman"/>
          <w:i w:val="0"/>
          <w:sz w:val="24"/>
          <w:szCs w:val="24"/>
        </w:rPr>
        <w:t xml:space="preserve">Требования к содержанию ценового предложения </w:t>
      </w:r>
    </w:p>
    <w:p w14:paraId="4648996E" w14:textId="77777777" w:rsidR="005D7EF8" w:rsidRPr="00A751AE" w:rsidRDefault="005D7EF8" w:rsidP="005D7EF8"/>
    <w:p w14:paraId="6A32F570" w14:textId="77777777" w:rsidR="005D7EF8" w:rsidRPr="00A751AE" w:rsidRDefault="005D7EF8" w:rsidP="005D7EF8">
      <w:pPr>
        <w:pStyle w:val="a"/>
        <w:numPr>
          <w:ilvl w:val="2"/>
          <w:numId w:val="2"/>
        </w:numPr>
        <w:tabs>
          <w:tab w:val="num" w:pos="1980"/>
        </w:tabs>
        <w:ind w:left="0" w:firstLine="540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>Ценовое предложение потенциального поставщика должно содержать цену за единицу, а также общую/итоговую цену услуг без учета НДС, с включенными в нее расходами на их транспортировку и страхование, оплату таможенных пошлин, других налогов, сборов, а также иных расходов, предусмотренных условиями оказания услуг.</w:t>
      </w:r>
    </w:p>
    <w:p w14:paraId="3FFEB9C8" w14:textId="77777777" w:rsidR="005D7EF8" w:rsidRPr="00A751AE" w:rsidRDefault="005D7EF8" w:rsidP="005D7EF8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>Ценовое предложение потенциального поставщика может содержать скидку к общей/итоговой цене услуг, представленную на условиях Заказчика, определенных в переговорной документации, а также скидку к общей/итоговой цене услуг, представленную с учетом альтернативных условий.</w:t>
      </w:r>
    </w:p>
    <w:p w14:paraId="2A29FD4F" w14:textId="77777777" w:rsidR="005D7EF8" w:rsidRPr="00A751AE" w:rsidRDefault="005D7EF8" w:rsidP="005D7EF8">
      <w:pPr>
        <w:pStyle w:val="a"/>
        <w:numPr>
          <w:ilvl w:val="0"/>
          <w:numId w:val="0"/>
        </w:numPr>
        <w:ind w:firstLine="567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>В случае предложения потенциальным поставщиком скидки к общ</w:t>
      </w:r>
      <w:r>
        <w:rPr>
          <w:rFonts w:ascii="Times New Roman" w:hAnsi="Times New Roman" w:cs="Times New Roman"/>
        </w:rPr>
        <w:t>ей/итоговой</w:t>
      </w:r>
      <w:r w:rsidRPr="00A751AE">
        <w:rPr>
          <w:rFonts w:ascii="Times New Roman" w:hAnsi="Times New Roman" w:cs="Times New Roman"/>
        </w:rPr>
        <w:t xml:space="preserve"> цене на условиях Заказчика, определенных в переговорной документации и (или) скидки при </w:t>
      </w:r>
      <w:r w:rsidRPr="00A751AE">
        <w:rPr>
          <w:rFonts w:ascii="Times New Roman" w:hAnsi="Times New Roman" w:cs="Times New Roman"/>
        </w:rPr>
        <w:lastRenderedPageBreak/>
        <w:t>альтернативных условиях, ценовое предложение должно содержать общую/итоговую цену с учетом указанных скидок.</w:t>
      </w:r>
    </w:p>
    <w:p w14:paraId="27E77666" w14:textId="77777777" w:rsidR="005D7EF8" w:rsidRPr="00A751AE" w:rsidRDefault="005D7EF8" w:rsidP="005D7EF8">
      <w:pPr>
        <w:pStyle w:val="a"/>
        <w:numPr>
          <w:ilvl w:val="2"/>
          <w:numId w:val="2"/>
        </w:numPr>
        <w:tabs>
          <w:tab w:val="num" w:pos="1980"/>
        </w:tabs>
        <w:ind w:left="0" w:firstLine="540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>Ценовое предложение участника конкурентных переговоров, являющегося резидентом Республики Казахстан, должно быть выражено в тенге.</w:t>
      </w:r>
    </w:p>
    <w:p w14:paraId="75B5F175" w14:textId="77777777" w:rsidR="005D7EF8" w:rsidRPr="00A751AE" w:rsidRDefault="005D7EF8" w:rsidP="005D7EF8">
      <w:pPr>
        <w:pStyle w:val="a"/>
        <w:numPr>
          <w:ilvl w:val="2"/>
          <w:numId w:val="2"/>
        </w:numPr>
        <w:tabs>
          <w:tab w:val="num" w:pos="1980"/>
        </w:tabs>
        <w:ind w:left="0" w:firstLine="540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>Потенциальный поставщик может представить альтернативные условия платежа, или другие условия и связанные с ними конкретные ценовые скидки.</w:t>
      </w:r>
    </w:p>
    <w:p w14:paraId="5FFCFD81" w14:textId="77777777" w:rsidR="005D7EF8" w:rsidRPr="00A751AE" w:rsidRDefault="005D7EF8" w:rsidP="005D7EF8"/>
    <w:p w14:paraId="07961C34" w14:textId="77777777" w:rsidR="005D7EF8" w:rsidRDefault="005D7EF8" w:rsidP="005D7EF8">
      <w:pPr>
        <w:pStyle w:val="2"/>
        <w:numPr>
          <w:ilvl w:val="0"/>
          <w:numId w:val="4"/>
        </w:numPr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751AE">
        <w:rPr>
          <w:rFonts w:ascii="Times New Roman" w:hAnsi="Times New Roman" w:cs="Times New Roman"/>
          <w:i w:val="0"/>
          <w:sz w:val="24"/>
          <w:szCs w:val="24"/>
        </w:rPr>
        <w:t xml:space="preserve">Раздел </w:t>
      </w:r>
    </w:p>
    <w:p w14:paraId="24C49E4E" w14:textId="77777777" w:rsidR="005D7EF8" w:rsidRDefault="005D7EF8" w:rsidP="005D7EF8">
      <w:pPr>
        <w:jc w:val="center"/>
        <w:rPr>
          <w:b/>
        </w:rPr>
      </w:pPr>
      <w:r w:rsidRPr="00366735">
        <w:rPr>
          <w:b/>
        </w:rPr>
        <w:t>Оформление и представление заявки</w:t>
      </w:r>
    </w:p>
    <w:p w14:paraId="25F9DEA5" w14:textId="77777777" w:rsidR="005D7EF8" w:rsidRPr="00366735" w:rsidRDefault="005D7EF8" w:rsidP="005D7EF8">
      <w:pPr>
        <w:jc w:val="center"/>
        <w:rPr>
          <w:b/>
        </w:rPr>
      </w:pPr>
    </w:p>
    <w:p w14:paraId="7DDF1E47" w14:textId="77777777" w:rsidR="005D7EF8" w:rsidRDefault="005D7EF8" w:rsidP="005D7EF8">
      <w:pPr>
        <w:pStyle w:val="a"/>
        <w:numPr>
          <w:ilvl w:val="0"/>
          <w:numId w:val="5"/>
        </w:numPr>
        <w:tabs>
          <w:tab w:val="clear" w:pos="360"/>
          <w:tab w:val="num" w:pos="993"/>
        </w:tabs>
        <w:ind w:left="0" w:firstLine="567"/>
        <w:rPr>
          <w:rFonts w:ascii="Times New Roman" w:hAnsi="Times New Roman" w:cs="Times New Roman"/>
        </w:rPr>
      </w:pPr>
      <w:r w:rsidRPr="00366735">
        <w:rPr>
          <w:rFonts w:ascii="Times New Roman" w:hAnsi="Times New Roman" w:cs="Times New Roman"/>
        </w:rPr>
        <w:t>Заявка на участие в переговорах (далее – Заявка) формируется в Системе Пользователем потенциального поставщика и подписывается его электронной цифровой подписью (далее – ЭЦП). Заявка должна содержать электронные копии и электронные документы в соответствии с требованиями раздела 3 документации для проведения конкурентных переговоров.</w:t>
      </w:r>
    </w:p>
    <w:p w14:paraId="73998ECA" w14:textId="77777777" w:rsidR="005D7EF8" w:rsidRDefault="005D7EF8" w:rsidP="005D7EF8">
      <w:pPr>
        <w:pStyle w:val="a"/>
        <w:numPr>
          <w:ilvl w:val="0"/>
          <w:numId w:val="5"/>
        </w:numPr>
        <w:tabs>
          <w:tab w:val="clear" w:pos="360"/>
          <w:tab w:val="num" w:pos="993"/>
        </w:tabs>
        <w:ind w:left="0" w:firstLine="567"/>
        <w:rPr>
          <w:rFonts w:ascii="Times New Roman" w:hAnsi="Times New Roman" w:cs="Times New Roman"/>
        </w:rPr>
      </w:pPr>
      <w:r w:rsidRPr="00366735">
        <w:rPr>
          <w:rFonts w:ascii="Times New Roman" w:hAnsi="Times New Roman" w:cs="Times New Roman"/>
        </w:rPr>
        <w:t>Заявка, поданная потенциальным поставщиком на участие в электронных закупках, автоматически регистрируется в Системе в срок до окончательной даты и времени, указанные в объявлении о закупке, размещенной в Системе</w:t>
      </w:r>
      <w:r>
        <w:rPr>
          <w:rFonts w:ascii="Times New Roman" w:hAnsi="Times New Roman" w:cs="Times New Roman"/>
        </w:rPr>
        <w:t>.</w:t>
      </w:r>
    </w:p>
    <w:p w14:paraId="6507C51B" w14:textId="77777777" w:rsidR="005D7EF8" w:rsidRDefault="005D7EF8" w:rsidP="005D7EF8">
      <w:pPr>
        <w:pStyle w:val="a"/>
        <w:numPr>
          <w:ilvl w:val="0"/>
          <w:numId w:val="5"/>
        </w:numPr>
        <w:tabs>
          <w:tab w:val="clear" w:pos="360"/>
          <w:tab w:val="num" w:pos="993"/>
        </w:tabs>
        <w:ind w:left="0" w:firstLine="567"/>
        <w:rPr>
          <w:rFonts w:ascii="Times New Roman" w:hAnsi="Times New Roman" w:cs="Times New Roman"/>
        </w:rPr>
      </w:pPr>
      <w:r w:rsidRPr="00366735">
        <w:rPr>
          <w:rFonts w:ascii="Times New Roman" w:hAnsi="Times New Roman" w:cs="Times New Roman"/>
        </w:rPr>
        <w:t>В качестве подтверждения приема или отказа в приеме Заявки на участие в электронных закупках, потенциальный поставщик, подавший заявку на участие в электронных закупках, автоматически уведомляются Системой.</w:t>
      </w:r>
    </w:p>
    <w:p w14:paraId="76218209" w14:textId="77777777" w:rsidR="005D7EF8" w:rsidRPr="00366735" w:rsidRDefault="005D7EF8" w:rsidP="005D7EF8">
      <w:pPr>
        <w:pStyle w:val="a"/>
        <w:numPr>
          <w:ilvl w:val="0"/>
          <w:numId w:val="5"/>
        </w:numPr>
        <w:tabs>
          <w:tab w:val="clear" w:pos="360"/>
          <w:tab w:val="num" w:pos="993"/>
        </w:tabs>
        <w:ind w:left="0" w:firstLine="567"/>
        <w:rPr>
          <w:rFonts w:ascii="Times New Roman" w:hAnsi="Times New Roman" w:cs="Times New Roman"/>
        </w:rPr>
      </w:pPr>
      <w:r w:rsidRPr="00366735">
        <w:rPr>
          <w:rFonts w:ascii="Times New Roman" w:hAnsi="Times New Roman" w:cs="Times New Roman"/>
        </w:rPr>
        <w:t>Потенциальный поставщик несет все расходы, связанные с его участием в закупках способом тендера путем проведения конкурентных переговоров. Заказчик/Организатор закупок (переговорная группа) не несет обязательства по возмещению этих расходов независимо от итогов закупок способом тендера путем проведения конкурентных переговоров.</w:t>
      </w:r>
    </w:p>
    <w:p w14:paraId="7E867C51" w14:textId="77777777" w:rsidR="005D7EF8" w:rsidRPr="00834687" w:rsidRDefault="005D7EF8" w:rsidP="005D7EF8">
      <w:pPr>
        <w:rPr>
          <w:sz w:val="22"/>
        </w:rPr>
      </w:pPr>
    </w:p>
    <w:p w14:paraId="085C22BF" w14:textId="77777777" w:rsidR="005D7EF8" w:rsidRPr="00834687" w:rsidRDefault="005D7EF8" w:rsidP="005D7EF8">
      <w:pPr>
        <w:pStyle w:val="2"/>
        <w:numPr>
          <w:ilvl w:val="0"/>
          <w:numId w:val="4"/>
        </w:numPr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34687">
        <w:rPr>
          <w:rFonts w:ascii="Times New Roman" w:hAnsi="Times New Roman" w:cs="Times New Roman"/>
          <w:i w:val="0"/>
          <w:sz w:val="24"/>
        </w:rPr>
        <w:t xml:space="preserve">Раздел </w:t>
      </w:r>
    </w:p>
    <w:p w14:paraId="51AD9B7A" w14:textId="77777777" w:rsidR="005D7EF8" w:rsidRPr="00834687" w:rsidRDefault="005D7EF8" w:rsidP="005D7EF8">
      <w:pPr>
        <w:pStyle w:val="2"/>
        <w:numPr>
          <w:ilvl w:val="0"/>
          <w:numId w:val="0"/>
        </w:numPr>
        <w:spacing w:before="0" w:after="0"/>
        <w:ind w:left="567"/>
        <w:jc w:val="center"/>
        <w:rPr>
          <w:rFonts w:ascii="Times New Roman" w:hAnsi="Times New Roman" w:cs="Times New Roman"/>
          <w:i w:val="0"/>
          <w:sz w:val="24"/>
        </w:rPr>
      </w:pPr>
      <w:r w:rsidRPr="00834687">
        <w:rPr>
          <w:rFonts w:ascii="Times New Roman" w:hAnsi="Times New Roman" w:cs="Times New Roman"/>
          <w:i w:val="0"/>
          <w:sz w:val="24"/>
        </w:rPr>
        <w:t>Содержание, оформление и представление заявки потенциального поставщика на участие в конкурентных переговорах</w:t>
      </w:r>
    </w:p>
    <w:p w14:paraId="0C3289F7" w14:textId="77777777" w:rsidR="005D7EF8" w:rsidRPr="00834687" w:rsidRDefault="005D7EF8" w:rsidP="005D7EF8">
      <w:pPr>
        <w:pStyle w:val="a"/>
        <w:numPr>
          <w:ilvl w:val="0"/>
          <w:numId w:val="0"/>
        </w:numPr>
        <w:tabs>
          <w:tab w:val="clear" w:pos="993"/>
          <w:tab w:val="left" w:pos="1134"/>
        </w:tabs>
        <w:ind w:left="-27"/>
        <w:rPr>
          <w:rFonts w:ascii="Times New Roman" w:hAnsi="Times New Roman" w:cs="Times New Roman"/>
          <w:szCs w:val="28"/>
        </w:rPr>
      </w:pPr>
    </w:p>
    <w:p w14:paraId="09E378C3" w14:textId="77777777" w:rsidR="005D7EF8" w:rsidRPr="00834687" w:rsidRDefault="005D7EF8" w:rsidP="005D7EF8">
      <w:pPr>
        <w:pStyle w:val="a"/>
        <w:numPr>
          <w:ilvl w:val="0"/>
          <w:numId w:val="3"/>
        </w:numPr>
        <w:ind w:left="0"/>
        <w:rPr>
          <w:rFonts w:ascii="Times New Roman" w:hAnsi="Times New Roman" w:cs="Times New Roman"/>
          <w:szCs w:val="28"/>
        </w:rPr>
      </w:pPr>
      <w:r w:rsidRPr="00834687">
        <w:rPr>
          <w:rFonts w:ascii="Times New Roman" w:hAnsi="Times New Roman" w:cs="Times New Roman"/>
          <w:szCs w:val="28"/>
        </w:rPr>
        <w:t>Заявка потенциального поставщика на участие в конкурентных переговорах является формой выражения согласия потенциального поставщика оказать услуги в соответствии с требованиями и условиями, установленными Документацией.</w:t>
      </w:r>
    </w:p>
    <w:p w14:paraId="769C94DF" w14:textId="77777777" w:rsidR="005D7EF8" w:rsidRDefault="005D7EF8" w:rsidP="005D7EF8">
      <w:pPr>
        <w:pStyle w:val="a"/>
        <w:tabs>
          <w:tab w:val="clear" w:pos="993"/>
          <w:tab w:val="left" w:pos="1134"/>
        </w:tabs>
        <w:ind w:left="0"/>
        <w:rPr>
          <w:rFonts w:ascii="Times New Roman" w:hAnsi="Times New Roman" w:cs="Times New Roman"/>
          <w:szCs w:val="28"/>
        </w:rPr>
      </w:pPr>
      <w:r w:rsidRPr="00834687">
        <w:rPr>
          <w:rFonts w:ascii="Times New Roman" w:hAnsi="Times New Roman" w:cs="Times New Roman"/>
          <w:szCs w:val="28"/>
        </w:rPr>
        <w:t>Заявка потенциального поставщика на участие в конкурентных переговорах (далее – заявка) должна содержать:</w:t>
      </w:r>
    </w:p>
    <w:p w14:paraId="70082C84" w14:textId="77777777" w:rsidR="005D7EF8" w:rsidRPr="008D5720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8D5720">
        <w:t>1) Заполненную и подписанную потенциальным поставщиком заявку на участие в конкурентных переговорах, содержащую наименование и реквизиты потенциального поставщика, предоставленную в форме электронного документа;</w:t>
      </w:r>
    </w:p>
    <w:p w14:paraId="04A0A763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8D5720">
        <w:t xml:space="preserve">2) Документ(ы), содержащий(е) сведения о государственной регистрации потенциального поставщика, первом руководителе и учредителях (участниках) потенциального поставщика, выданный(е) в соответствии с законодательством Республики Казахстан не более чем за 30 (тридцать) календарных дней до даты вскрытия тендерных заявок В случае участия консорциума предоставляются документы, содержащие указанные сведения по каждому юридическому лицу, входящему в консорциум, документ, подтверждающий право подписания соглашения о консорциуме уполномоченным лицом каждого юридического лица, входящего в консорциум, а также соглашение о консорциуме. В случае участия консорциума в качестве документа, содержащего сведения об учредителях (участниках) потенциального поставщика, в том числе могут быть представлены уставы каждого юридического лица, входящего в консорциум. Для физических лиц, осуществляющих частное предпринимательство без образования юридического лица, в качестве документа, указанного в настоящем пункте, предоставляется документ, содержащий сведения о государственной регистрации потенциального поставщика, выданный в соответствии с законодательством Республики Казахстан. Для акционерных обществ в качестве документа, содержащего сведения об учредителях (участниках) потенциального поставщика, также может предоставляться выписка из реестра держателей акций, выданная не более чем за 30 (тридцать) </w:t>
      </w:r>
      <w:r w:rsidRPr="001E6296">
        <w:t xml:space="preserve">календарных дней до даты вскрытия. </w:t>
      </w:r>
    </w:p>
    <w:p w14:paraId="224235F1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1E6296">
        <w:lastRenderedPageBreak/>
        <w:t>3) Техническую спецификацию потенциального поставщика, предоставленную в форме электронного документа, сформированного в Системе.</w:t>
      </w:r>
    </w:p>
    <w:p w14:paraId="611C2222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1E6296">
        <w:t>При этом приложения и/или иные документы, дополняющие техническую спецификацию, предоставляются потенциальным поставщиком в виде электронных копий и/или электронных документов, соответствующих требованиям, установленным переговорной документацией;</w:t>
      </w:r>
    </w:p>
    <w:p w14:paraId="0F566C6A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1E6296">
        <w:t xml:space="preserve">4) Ценовое предложение в форме электронного документа, подписанное потенциальным поставщиком; </w:t>
      </w:r>
    </w:p>
    <w:p w14:paraId="0189CDDE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1E6296">
        <w:t>5) С</w:t>
      </w:r>
      <w:r w:rsidRPr="001E6296">
        <w:rPr>
          <w:bCs/>
        </w:rPr>
        <w:t>огласие потенциального поставщика – участника переговоров с условиями и процедурой проведения переговоров;</w:t>
      </w:r>
    </w:p>
    <w:p w14:paraId="1EAB6956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1E6296">
        <w:t xml:space="preserve">6) Электронную доверенность, сформированную в Системе и выданную лицу (лицам), представляющему интересы потенциального поставщика, на право подписания заявки и документов, содержащихся в заявке на участие в тендере,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поставщика. При этом потенциальный поставщик - нерезидент Республики Казахстан предоставляет документ, предусмотренный настоящим подпунктом, в форме электронной копии. </w:t>
      </w:r>
    </w:p>
    <w:p w14:paraId="30F4B7C0" w14:textId="77777777" w:rsidR="005D7EF8" w:rsidRPr="001E6296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1E6296">
        <w:rPr>
          <w:bCs/>
        </w:rPr>
        <w:t>7) иные документы и сведения, предусмотренные документацией для конкурентных переговоров.</w:t>
      </w:r>
    </w:p>
    <w:p w14:paraId="373A05DF" w14:textId="77777777" w:rsidR="005D7EF8" w:rsidRPr="00834687" w:rsidRDefault="005D7EF8" w:rsidP="005D7EF8">
      <w:pPr>
        <w:pStyle w:val="a"/>
        <w:ind w:left="0"/>
        <w:rPr>
          <w:rFonts w:ascii="Times New Roman" w:hAnsi="Times New Roman" w:cs="Times New Roman"/>
          <w:color w:val="000000"/>
          <w:szCs w:val="28"/>
        </w:rPr>
      </w:pPr>
      <w:bookmarkStart w:id="1" w:name="SUB210201"/>
      <w:bookmarkStart w:id="2" w:name="SUB210300"/>
      <w:bookmarkEnd w:id="1"/>
      <w:bookmarkEnd w:id="2"/>
      <w:r w:rsidRPr="00834687">
        <w:rPr>
          <w:rFonts w:ascii="Times New Roman" w:hAnsi="Times New Roman" w:cs="Times New Roman"/>
          <w:szCs w:val="28"/>
        </w:rPr>
        <w:t xml:space="preserve">Заявка составляется на языке в соответствии с законодательством Республики Казахстан. При этом Заявка может содержать документы, составленные на другом языке, при условии, что к ним будет прилагаться точный перевод на язык настоящей переговорной документации, и в этом случае преимущество будет иметь перевод. </w:t>
      </w:r>
    </w:p>
    <w:p w14:paraId="48001849" w14:textId="77777777" w:rsidR="005D7EF8" w:rsidRPr="00834687" w:rsidRDefault="005D7EF8" w:rsidP="005D7EF8">
      <w:pPr>
        <w:pStyle w:val="a"/>
        <w:ind w:left="0"/>
        <w:rPr>
          <w:rFonts w:ascii="Times New Roman" w:hAnsi="Times New Roman" w:cs="Times New Roman"/>
          <w:color w:val="000000"/>
          <w:szCs w:val="28"/>
        </w:rPr>
      </w:pPr>
      <w:r w:rsidRPr="00834687">
        <w:rPr>
          <w:rFonts w:ascii="Times New Roman" w:hAnsi="Times New Roman" w:cs="Times New Roman"/>
          <w:szCs w:val="28"/>
        </w:rPr>
        <w:t xml:space="preserve">Заявки на участие в переговорах с приложением соответствующих документов представляются потенциальными поставщиками – участниками переговоров в Системе, </w:t>
      </w:r>
      <w:r w:rsidRPr="00834687">
        <w:rPr>
          <w:rFonts w:ascii="Times New Roman" w:hAnsi="Times New Roman" w:cs="Times New Roman"/>
          <w:color w:val="000000"/>
          <w:szCs w:val="28"/>
        </w:rPr>
        <w:t>в срок до окончательной даты и времени, указанные в приглашении о закупке, размещенном в Системе.</w:t>
      </w:r>
    </w:p>
    <w:p w14:paraId="46B089A0" w14:textId="77777777" w:rsidR="005D7EF8" w:rsidRPr="00A751AE" w:rsidRDefault="005D7EF8" w:rsidP="005D7EF8">
      <w:pPr>
        <w:autoSpaceDE w:val="0"/>
        <w:autoSpaceDN w:val="0"/>
        <w:rPr>
          <w:b/>
          <w:bCs/>
          <w:iCs/>
        </w:rPr>
      </w:pPr>
    </w:p>
    <w:p w14:paraId="7D9CA88C" w14:textId="77777777" w:rsidR="005D7EF8" w:rsidRPr="00A751AE" w:rsidRDefault="005D7EF8" w:rsidP="005D7EF8">
      <w:pPr>
        <w:numPr>
          <w:ilvl w:val="0"/>
          <w:numId w:val="4"/>
        </w:numPr>
        <w:autoSpaceDE w:val="0"/>
        <w:autoSpaceDN w:val="0"/>
        <w:jc w:val="center"/>
        <w:rPr>
          <w:b/>
        </w:rPr>
      </w:pPr>
      <w:r w:rsidRPr="00A751AE">
        <w:rPr>
          <w:b/>
        </w:rPr>
        <w:t xml:space="preserve">Раздел </w:t>
      </w:r>
    </w:p>
    <w:p w14:paraId="7DFAF280" w14:textId="77777777" w:rsidR="005D7EF8" w:rsidRPr="00A751AE" w:rsidRDefault="005D7EF8" w:rsidP="005D7EF8">
      <w:pPr>
        <w:autoSpaceDE w:val="0"/>
        <w:autoSpaceDN w:val="0"/>
        <w:jc w:val="center"/>
        <w:rPr>
          <w:b/>
        </w:rPr>
      </w:pPr>
      <w:r w:rsidRPr="00A751AE">
        <w:rPr>
          <w:b/>
        </w:rPr>
        <w:t xml:space="preserve">Рассмотрение заявок на участие в переговорах, </w:t>
      </w:r>
    </w:p>
    <w:p w14:paraId="1F360B38" w14:textId="77777777" w:rsidR="005D7EF8" w:rsidRPr="00A751AE" w:rsidRDefault="005D7EF8" w:rsidP="005D7EF8">
      <w:pPr>
        <w:autoSpaceDE w:val="0"/>
        <w:autoSpaceDN w:val="0"/>
        <w:jc w:val="center"/>
        <w:rPr>
          <w:b/>
        </w:rPr>
      </w:pPr>
      <w:r w:rsidRPr="00A751AE">
        <w:rPr>
          <w:b/>
        </w:rPr>
        <w:t xml:space="preserve">оценка и сопоставление заявок на участие в переговорах и </w:t>
      </w:r>
    </w:p>
    <w:p w14:paraId="77591A6A" w14:textId="77777777" w:rsidR="005D7EF8" w:rsidRPr="00A751AE" w:rsidRDefault="005D7EF8" w:rsidP="005D7EF8">
      <w:pPr>
        <w:autoSpaceDE w:val="0"/>
        <w:autoSpaceDN w:val="0"/>
        <w:jc w:val="center"/>
        <w:rPr>
          <w:b/>
        </w:rPr>
      </w:pPr>
      <w:r w:rsidRPr="00A751AE">
        <w:rPr>
          <w:b/>
        </w:rPr>
        <w:t xml:space="preserve">подведение итогов </w:t>
      </w:r>
      <w:r w:rsidRPr="00A751AE">
        <w:rPr>
          <w:b/>
          <w:bCs/>
        </w:rPr>
        <w:t>конкурентных переговоров</w:t>
      </w:r>
    </w:p>
    <w:p w14:paraId="305741C1" w14:textId="77777777" w:rsidR="005D7EF8" w:rsidRPr="00A751AE" w:rsidRDefault="005D7EF8" w:rsidP="005D7EF8">
      <w:pPr>
        <w:autoSpaceDE w:val="0"/>
        <w:autoSpaceDN w:val="0"/>
        <w:ind w:firstLine="540"/>
        <w:jc w:val="both"/>
        <w:rPr>
          <w:b/>
        </w:rPr>
      </w:pPr>
    </w:p>
    <w:p w14:paraId="1E825CA9" w14:textId="77777777" w:rsidR="005D7EF8" w:rsidRPr="00A751AE" w:rsidRDefault="005D7EF8" w:rsidP="005D7EF8">
      <w:pPr>
        <w:pStyle w:val="a"/>
        <w:numPr>
          <w:ilvl w:val="2"/>
          <w:numId w:val="2"/>
        </w:numPr>
        <w:tabs>
          <w:tab w:val="clear" w:pos="0"/>
          <w:tab w:val="left" w:pos="142"/>
          <w:tab w:val="num" w:pos="1620"/>
        </w:tabs>
        <w:ind w:left="0" w:firstLine="540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 xml:space="preserve">Заявки на участие в переговорах рассматриваются переговорной группой на предмет соответствия заявок на участие в переговорах требованиям пункта 4 статьи 48-1 </w:t>
      </w:r>
      <w:r w:rsidRPr="00A751AE">
        <w:rPr>
          <w:rFonts w:ascii="Times New Roman" w:hAnsi="Times New Roman" w:cs="Times New Roman"/>
          <w:color w:val="000000"/>
        </w:rPr>
        <w:t>Стандарта управления закупочной деятельностью акционерного общества «Фонд национального благосостояния «</w:t>
      </w:r>
      <w:proofErr w:type="spellStart"/>
      <w:r w:rsidRPr="00A751AE">
        <w:rPr>
          <w:rFonts w:ascii="Times New Roman" w:hAnsi="Times New Roman" w:cs="Times New Roman"/>
          <w:color w:val="000000"/>
        </w:rPr>
        <w:t>Самрук-Қазына</w:t>
      </w:r>
      <w:proofErr w:type="spellEnd"/>
      <w:r w:rsidRPr="00A751AE">
        <w:rPr>
          <w:rFonts w:ascii="Times New Roman" w:hAnsi="Times New Roman" w:cs="Times New Roman"/>
          <w:color w:val="000000"/>
        </w:rPr>
        <w:t>» и организаций пятьдесят и более процентов голосующих акций (долей участия) которых прямо или косвенно принадлежат АО «</w:t>
      </w:r>
      <w:proofErr w:type="spellStart"/>
      <w:r w:rsidRPr="00A751AE">
        <w:rPr>
          <w:rFonts w:ascii="Times New Roman" w:hAnsi="Times New Roman" w:cs="Times New Roman"/>
          <w:color w:val="000000"/>
        </w:rPr>
        <w:t>Самрук-Қазына</w:t>
      </w:r>
      <w:proofErr w:type="spellEnd"/>
      <w:r w:rsidRPr="00A751AE">
        <w:rPr>
          <w:rFonts w:ascii="Times New Roman" w:hAnsi="Times New Roman" w:cs="Times New Roman"/>
          <w:color w:val="000000"/>
        </w:rPr>
        <w:t>» на праве собственности или доверительного управления, утвержденного решением Правления АО «</w:t>
      </w:r>
      <w:proofErr w:type="spellStart"/>
      <w:r w:rsidRPr="00A751AE">
        <w:rPr>
          <w:rFonts w:ascii="Times New Roman" w:hAnsi="Times New Roman" w:cs="Times New Roman"/>
          <w:color w:val="000000"/>
        </w:rPr>
        <w:t>Самрук-Қазына</w:t>
      </w:r>
      <w:proofErr w:type="spellEnd"/>
      <w:r w:rsidRPr="00A751AE">
        <w:rPr>
          <w:rFonts w:ascii="Times New Roman" w:hAnsi="Times New Roman" w:cs="Times New Roman"/>
          <w:color w:val="000000"/>
        </w:rPr>
        <w:t>» от 09 сентября 2019 года (протокол №31/19) (далее – Стандарт)</w:t>
      </w:r>
      <w:r w:rsidRPr="00A751AE">
        <w:rPr>
          <w:rFonts w:ascii="Times New Roman" w:hAnsi="Times New Roman" w:cs="Times New Roman"/>
        </w:rPr>
        <w:t xml:space="preserve">. </w:t>
      </w:r>
    </w:p>
    <w:p w14:paraId="0A29872E" w14:textId="77777777" w:rsidR="005D7EF8" w:rsidRPr="00A751AE" w:rsidRDefault="005D7EF8" w:rsidP="005D7EF8">
      <w:pPr>
        <w:pStyle w:val="a7"/>
        <w:numPr>
          <w:ilvl w:val="2"/>
          <w:numId w:val="2"/>
        </w:numPr>
        <w:tabs>
          <w:tab w:val="left" w:pos="142"/>
          <w:tab w:val="left" w:pos="993"/>
          <w:tab w:val="num" w:pos="1985"/>
        </w:tabs>
        <w:spacing w:line="240" w:lineRule="auto"/>
        <w:ind w:left="0" w:firstLine="567"/>
        <w:rPr>
          <w:sz w:val="24"/>
          <w:szCs w:val="24"/>
        </w:rPr>
      </w:pPr>
      <w:r w:rsidRPr="00A751AE">
        <w:rPr>
          <w:sz w:val="24"/>
          <w:szCs w:val="24"/>
        </w:rPr>
        <w:t>Заявка потенциального поставщика на участие в переговорах подлежит отклонению, если:</w:t>
      </w:r>
    </w:p>
    <w:p w14:paraId="7633A3A2" w14:textId="77777777" w:rsidR="005D7EF8" w:rsidRPr="00A751AE" w:rsidRDefault="005D7EF8" w:rsidP="005D7EF8">
      <w:pPr>
        <w:tabs>
          <w:tab w:val="left" w:pos="851"/>
          <w:tab w:val="left" w:pos="1134"/>
        </w:tabs>
        <w:ind w:firstLine="426"/>
        <w:contextualSpacing/>
        <w:jc w:val="both"/>
        <w:rPr>
          <w:color w:val="000000"/>
        </w:rPr>
      </w:pPr>
      <w:r w:rsidRPr="00A751AE">
        <w:rPr>
          <w:color w:val="000000"/>
        </w:rPr>
        <w:tab/>
        <w:t>1)</w:t>
      </w:r>
      <w:r w:rsidRPr="00A751AE">
        <w:rPr>
          <w:color w:val="000000"/>
        </w:rPr>
        <w:tab/>
        <w:t>признания заявки на участие в переговорах несоответствующей требованиям к содержанию заявки, за исключением случаев несоответствия технической спецификации, когда потенциальный поставщик предлагает лучшие условия поставки товара, выполнения работ, оказания услуг, а также лучшие характеристики закупаемых товаров, работ, услуг;</w:t>
      </w:r>
    </w:p>
    <w:p w14:paraId="36197956" w14:textId="77777777" w:rsidR="005D7EF8" w:rsidRPr="00A751AE" w:rsidRDefault="005D7EF8" w:rsidP="005D7EF8">
      <w:pPr>
        <w:tabs>
          <w:tab w:val="left" w:pos="851"/>
          <w:tab w:val="left" w:pos="1134"/>
        </w:tabs>
        <w:ind w:firstLine="426"/>
        <w:contextualSpacing/>
        <w:jc w:val="both"/>
        <w:rPr>
          <w:color w:val="000000"/>
        </w:rPr>
      </w:pPr>
      <w:r w:rsidRPr="00A751AE">
        <w:rPr>
          <w:color w:val="000000"/>
        </w:rPr>
        <w:tab/>
        <w:t>2)</w:t>
      </w:r>
      <w:r w:rsidRPr="00A751AE">
        <w:rPr>
          <w:color w:val="000000"/>
        </w:rPr>
        <w:tab/>
        <w:t>если потенциальный поставщик является аффилированным лицом другого потенциального поставщика, подавшего заявку на участие в переговорах;</w:t>
      </w:r>
    </w:p>
    <w:p w14:paraId="0A5098E9" w14:textId="77777777" w:rsidR="005D7EF8" w:rsidRPr="00A751AE" w:rsidRDefault="005D7EF8" w:rsidP="005D7EF8">
      <w:pPr>
        <w:tabs>
          <w:tab w:val="left" w:pos="851"/>
          <w:tab w:val="left" w:pos="1134"/>
        </w:tabs>
        <w:ind w:firstLine="426"/>
        <w:contextualSpacing/>
        <w:jc w:val="both"/>
        <w:rPr>
          <w:color w:val="000000"/>
        </w:rPr>
      </w:pPr>
      <w:r w:rsidRPr="00A751AE">
        <w:rPr>
          <w:color w:val="000000"/>
        </w:rPr>
        <w:tab/>
        <w:t>3)</w:t>
      </w:r>
      <w:r w:rsidRPr="00A751AE">
        <w:rPr>
          <w:color w:val="000000"/>
        </w:rPr>
        <w:tab/>
        <w:t>ценовое предложение потенциального поставщика превышает сумму, выделенную для закупки;</w:t>
      </w:r>
    </w:p>
    <w:p w14:paraId="5106CCC1" w14:textId="77777777" w:rsidR="005D7EF8" w:rsidRPr="00A751AE" w:rsidRDefault="005D7EF8" w:rsidP="005D7EF8">
      <w:pPr>
        <w:tabs>
          <w:tab w:val="left" w:pos="851"/>
          <w:tab w:val="left" w:pos="1134"/>
        </w:tabs>
        <w:ind w:firstLine="426"/>
        <w:contextualSpacing/>
        <w:jc w:val="both"/>
        <w:rPr>
          <w:color w:val="000000"/>
        </w:rPr>
      </w:pPr>
      <w:r w:rsidRPr="00A751AE">
        <w:rPr>
          <w:rFonts w:ascii="Arial" w:hAnsi="Arial" w:cs="Arial"/>
          <w:bCs/>
        </w:rPr>
        <w:tab/>
      </w:r>
      <w:r w:rsidRPr="00A751AE">
        <w:rPr>
          <w:color w:val="000000"/>
        </w:rPr>
        <w:t>4)</w:t>
      </w:r>
      <w:r w:rsidRPr="00A751AE">
        <w:rPr>
          <w:color w:val="000000"/>
        </w:rPr>
        <w:tab/>
        <w:t>в случаях, предусмотренных пунктом 1 статьи 31 Стандарта.</w:t>
      </w:r>
    </w:p>
    <w:p w14:paraId="0CE9E51A" w14:textId="77777777" w:rsidR="005D7EF8" w:rsidRPr="00A751AE" w:rsidRDefault="005D7EF8" w:rsidP="005D7EF8">
      <w:pPr>
        <w:pStyle w:val="a7"/>
        <w:numPr>
          <w:ilvl w:val="2"/>
          <w:numId w:val="2"/>
        </w:numPr>
        <w:tabs>
          <w:tab w:val="clear" w:pos="928"/>
          <w:tab w:val="left" w:pos="142"/>
          <w:tab w:val="left" w:pos="993"/>
          <w:tab w:val="num" w:pos="1418"/>
          <w:tab w:val="num" w:pos="1985"/>
        </w:tabs>
        <w:spacing w:line="240" w:lineRule="auto"/>
        <w:ind w:left="284" w:firstLine="425"/>
        <w:rPr>
          <w:sz w:val="24"/>
          <w:szCs w:val="24"/>
        </w:rPr>
      </w:pPr>
      <w:r w:rsidRPr="00A751AE">
        <w:rPr>
          <w:sz w:val="24"/>
          <w:szCs w:val="24"/>
        </w:rPr>
        <w:t>Победитель переговоров определяется по наименьшей цене с учетом дополнительного ценового предложения (в случае наличия).</w:t>
      </w:r>
    </w:p>
    <w:p w14:paraId="0406D9E2" w14:textId="77777777" w:rsidR="005D7EF8" w:rsidRPr="00823632" w:rsidRDefault="005D7EF8" w:rsidP="005D7EF8">
      <w:pPr>
        <w:pStyle w:val="a7"/>
        <w:numPr>
          <w:ilvl w:val="2"/>
          <w:numId w:val="2"/>
        </w:numPr>
        <w:tabs>
          <w:tab w:val="clear" w:pos="928"/>
          <w:tab w:val="left" w:pos="142"/>
          <w:tab w:val="left" w:pos="993"/>
          <w:tab w:val="num" w:pos="1418"/>
          <w:tab w:val="num" w:pos="1985"/>
        </w:tabs>
        <w:spacing w:line="240" w:lineRule="auto"/>
        <w:ind w:left="284" w:firstLine="425"/>
        <w:rPr>
          <w:sz w:val="24"/>
          <w:szCs w:val="24"/>
        </w:rPr>
      </w:pPr>
      <w:r w:rsidRPr="00A751AE">
        <w:rPr>
          <w:sz w:val="24"/>
          <w:szCs w:val="24"/>
        </w:rPr>
        <w:t>Протокол проведения переговоров должен быть подписан руководителем и членами переговорной группы в течение 2 (двух) рабочих дней с даты окончания переговоров, и в течение 1 (одного) рабочего дня с даты подписания направлен потенциальным поставщикам-участникам переговоров.</w:t>
      </w:r>
    </w:p>
    <w:p w14:paraId="15E178DD" w14:textId="77777777" w:rsidR="005D7EF8" w:rsidRPr="00A751AE" w:rsidRDefault="005D7EF8" w:rsidP="005D7EF8">
      <w:pPr>
        <w:pStyle w:val="a"/>
        <w:numPr>
          <w:ilvl w:val="0"/>
          <w:numId w:val="0"/>
        </w:numPr>
        <w:tabs>
          <w:tab w:val="num" w:pos="1418"/>
        </w:tabs>
        <w:ind w:left="284" w:firstLine="425"/>
        <w:rPr>
          <w:rFonts w:ascii="Times New Roman" w:hAnsi="Times New Roman" w:cs="Times New Roman"/>
        </w:rPr>
      </w:pPr>
      <w:r w:rsidRPr="00A751AE">
        <w:rPr>
          <w:rFonts w:ascii="Times New Roman" w:hAnsi="Times New Roman" w:cs="Times New Roman"/>
        </w:rPr>
        <w:t xml:space="preserve">Протокол проведения переговоров должен в обязательном порядке содержать информацию </w:t>
      </w:r>
      <w:r w:rsidRPr="00A751AE">
        <w:rPr>
          <w:rFonts w:ascii="Times New Roman" w:hAnsi="Times New Roman" w:cs="Times New Roman"/>
        </w:rPr>
        <w:lastRenderedPageBreak/>
        <w:t>о потенциальных поставщиках-участниках переговоров, их ценовых предложениях, отклоненных заявках, победителе, сроках заключения и сумме договора о закупках с победителем.</w:t>
      </w:r>
    </w:p>
    <w:p w14:paraId="05E66DE3" w14:textId="77777777" w:rsidR="005D7EF8" w:rsidRPr="00A751AE" w:rsidRDefault="005D7EF8" w:rsidP="005D7EF8">
      <w:pPr>
        <w:pStyle w:val="a7"/>
        <w:numPr>
          <w:ilvl w:val="2"/>
          <w:numId w:val="2"/>
        </w:numPr>
        <w:tabs>
          <w:tab w:val="clear" w:pos="928"/>
          <w:tab w:val="left" w:pos="142"/>
          <w:tab w:val="left" w:pos="993"/>
          <w:tab w:val="num" w:pos="1418"/>
          <w:tab w:val="num" w:pos="1985"/>
        </w:tabs>
        <w:spacing w:line="240" w:lineRule="auto"/>
        <w:ind w:left="284" w:firstLine="425"/>
        <w:rPr>
          <w:sz w:val="24"/>
          <w:szCs w:val="24"/>
        </w:rPr>
      </w:pPr>
      <w:r w:rsidRPr="00823632">
        <w:rPr>
          <w:sz w:val="24"/>
          <w:szCs w:val="24"/>
        </w:rPr>
        <w:t>Закупки способом тендера путем проведения конкурентных переговоров признаются несостоявшимися в случае:</w:t>
      </w:r>
    </w:p>
    <w:p w14:paraId="74124865" w14:textId="77777777" w:rsidR="005D7EF8" w:rsidRPr="00A751AE" w:rsidRDefault="005D7EF8" w:rsidP="005D7EF8">
      <w:pPr>
        <w:tabs>
          <w:tab w:val="left" w:pos="1134"/>
        </w:tabs>
        <w:ind w:firstLine="709"/>
        <w:contextualSpacing/>
        <w:jc w:val="both"/>
        <w:rPr>
          <w:bCs/>
        </w:rPr>
      </w:pPr>
      <w:r w:rsidRPr="00A751AE">
        <w:rPr>
          <w:bCs/>
        </w:rPr>
        <w:t>1) отсутствия заявок на участие в переговорах;</w:t>
      </w:r>
    </w:p>
    <w:p w14:paraId="7C704DF6" w14:textId="77777777" w:rsidR="005D7EF8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A751AE">
        <w:rPr>
          <w:bCs/>
        </w:rPr>
        <w:t>2) если победитель тендера уклонился (отказался) от</w:t>
      </w:r>
      <w:r>
        <w:rPr>
          <w:bCs/>
        </w:rPr>
        <w:t xml:space="preserve"> заключения договора о закупках;</w:t>
      </w:r>
    </w:p>
    <w:p w14:paraId="7B6BDF8F" w14:textId="77777777" w:rsidR="005D7EF8" w:rsidRDefault="005D7EF8" w:rsidP="005D7EF8">
      <w:pPr>
        <w:tabs>
          <w:tab w:val="left" w:pos="851"/>
          <w:tab w:val="left" w:pos="1134"/>
        </w:tabs>
        <w:ind w:firstLine="709"/>
        <w:contextualSpacing/>
        <w:jc w:val="both"/>
      </w:pPr>
      <w:r w:rsidRPr="00834687">
        <w:t>3) если все представленные заявки на участие в переговорах не соответствуют требованиям документ</w:t>
      </w:r>
      <w:r>
        <w:t>ации для проведения переговоров;</w:t>
      </w:r>
    </w:p>
    <w:p w14:paraId="746C6144" w14:textId="77777777" w:rsidR="005D7EF8" w:rsidRDefault="005D7EF8"/>
    <w:sectPr w:rsidR="005D7EF8" w:rsidSect="000A6ED0">
      <w:headerReference w:type="default" r:id="rId7"/>
      <w:footerReference w:type="default" r:id="rId8"/>
      <w:pgSz w:w="11907" w:h="16840" w:code="9"/>
      <w:pgMar w:top="289" w:right="709" w:bottom="567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BE72" w14:textId="77777777" w:rsidR="0005690F" w:rsidRDefault="0005690F">
      <w:r>
        <w:separator/>
      </w:r>
    </w:p>
  </w:endnote>
  <w:endnote w:type="continuationSeparator" w:id="0">
    <w:p w14:paraId="0BA88D2F" w14:textId="77777777" w:rsidR="0005690F" w:rsidRDefault="0005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5701" w14:textId="77777777" w:rsidR="00BF3CB4" w:rsidRDefault="0005690F" w:rsidP="004C25A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A05E4" w14:textId="77777777" w:rsidR="0005690F" w:rsidRDefault="0005690F">
      <w:r>
        <w:separator/>
      </w:r>
    </w:p>
  </w:footnote>
  <w:footnote w:type="continuationSeparator" w:id="0">
    <w:p w14:paraId="4F8CF0DA" w14:textId="77777777" w:rsidR="0005690F" w:rsidRDefault="0005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BACE" w14:textId="77777777" w:rsidR="00BF3CB4" w:rsidRPr="00BB61AF" w:rsidRDefault="005D7EF8" w:rsidP="004C25AB">
    <w:pPr>
      <w:jc w:val="center"/>
      <w:rPr>
        <w:sz w:val="20"/>
      </w:rPr>
    </w:pPr>
    <w:r w:rsidRPr="00BB61AF">
      <w:rPr>
        <w:sz w:val="20"/>
      </w:rPr>
      <w:fldChar w:fldCharType="begin"/>
    </w:r>
    <w:r w:rsidRPr="00BB61AF">
      <w:rPr>
        <w:sz w:val="20"/>
      </w:rPr>
      <w:instrText>PAGE   \* MERGEFORMAT</w:instrText>
    </w:r>
    <w:r w:rsidRPr="00BB61AF">
      <w:rPr>
        <w:sz w:val="20"/>
      </w:rPr>
      <w:fldChar w:fldCharType="separate"/>
    </w:r>
    <w:r>
      <w:rPr>
        <w:noProof/>
        <w:sz w:val="20"/>
      </w:rPr>
      <w:t>5</w:t>
    </w:r>
    <w:r w:rsidRPr="00BB61AF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1" w15:restartNumberingAfterBreak="0">
    <w:nsid w:val="37E91EA7"/>
    <w:multiLevelType w:val="multilevel"/>
    <w:tmpl w:val="193A0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76B83F79"/>
    <w:multiLevelType w:val="hybridMultilevel"/>
    <w:tmpl w:val="AFEC9E04"/>
    <w:lvl w:ilvl="0" w:tplc="3544D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100E"/>
    <w:multiLevelType w:val="hybridMultilevel"/>
    <w:tmpl w:val="A10CED20"/>
    <w:lvl w:ilvl="0" w:tplc="6EA2B0A2">
      <w:start w:val="15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ascii="Times New Roman" w:hAnsi="Times New Roman" w:cs="Times New Roman" w:hint="default"/>
        <w:b w:val="0"/>
        <w:color w:val="auto"/>
      </w:rPr>
    </w:lvl>
    <w:lvl w:ilvl="1" w:tplc="B8226F2A">
      <w:start w:val="1"/>
      <w:numFmt w:val="decimal"/>
      <w:lvlText w:val="%2)"/>
      <w:lvlJc w:val="left"/>
      <w:pPr>
        <w:ind w:left="1498" w:hanging="93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F8"/>
    <w:rsid w:val="0005690F"/>
    <w:rsid w:val="00112B7D"/>
    <w:rsid w:val="005D7EF8"/>
    <w:rsid w:val="00B50BEA"/>
    <w:rsid w:val="00D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0822"/>
  <w15:chartTrackingRefBased/>
  <w15:docId w15:val="{B0030B3C-ACE8-4FFC-86CF-5E12394C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D7E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D7E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D7E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D7E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D7EF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5D7EF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5D7EF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5D7EF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7E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5D7E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D7E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D7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D7E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5D7E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D7E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5D7EF8"/>
    <w:rPr>
      <w:rFonts w:ascii="Arial" w:eastAsia="Times New Roman" w:hAnsi="Arial" w:cs="Arial"/>
      <w:lang w:eastAsia="ru-RU"/>
    </w:rPr>
  </w:style>
  <w:style w:type="paragraph" w:styleId="a4">
    <w:name w:val="footer"/>
    <w:basedOn w:val="a0"/>
    <w:link w:val="a5"/>
    <w:uiPriority w:val="99"/>
    <w:rsid w:val="005D7E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5D7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татья"/>
    <w:basedOn w:val="a0"/>
    <w:link w:val="a6"/>
    <w:rsid w:val="005D7EF8"/>
    <w:pPr>
      <w:widowControl w:val="0"/>
      <w:numPr>
        <w:numId w:val="2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styleId="a7">
    <w:name w:val="List Paragraph"/>
    <w:aliases w:val="Мой Список,Bullet List,FooterText,numbered,AC List 01,Абзац,Цветной список - Акцент 11,Абзац списка1,List Paragraph,Заголовок_3,Bullet_IRAO,Подпись рисунка,Table-Normal,RSHB_Table-Normal,List Paragraph1,2 заголовок,1,Абзац маркированнный"/>
    <w:basedOn w:val="a0"/>
    <w:link w:val="a8"/>
    <w:uiPriority w:val="34"/>
    <w:qFormat/>
    <w:rsid w:val="005D7EF8"/>
    <w:pPr>
      <w:widowControl w:val="0"/>
      <w:adjustRightInd w:val="0"/>
      <w:spacing w:line="360" w:lineRule="atLeast"/>
      <w:ind w:left="708"/>
      <w:jc w:val="both"/>
    </w:pPr>
    <w:rPr>
      <w:sz w:val="28"/>
      <w:szCs w:val="28"/>
    </w:rPr>
  </w:style>
  <w:style w:type="character" w:customStyle="1" w:styleId="a6">
    <w:name w:val="Статья Знак"/>
    <w:link w:val="a"/>
    <w:rsid w:val="005D7EF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Абзац списка Знак"/>
    <w:aliases w:val="Мой Список Знак,Bullet List Знак,FooterText Знак,numbered Знак,AC List 01 Знак,Абзац Знак,Цветной список - Акцент 11 Знак,Абзац списка1 Знак,List Paragraph Знак,Заголовок_3 Знак,Bullet_IRAO Знак,Подпись рисунка Знак,Table-Normal Знак"/>
    <w:link w:val="a7"/>
    <w:uiPriority w:val="34"/>
    <w:rsid w:val="005D7E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5pt">
    <w:name w:val="Основной текст (2) + 8;5 pt;Полужирный"/>
    <w:basedOn w:val="a1"/>
    <w:rsid w:val="005D7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a1"/>
    <w:rsid w:val="005D7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2161</Words>
  <Characters>12323</Characters>
  <Application>Microsoft Office Word</Application>
  <DocSecurity>0</DocSecurity>
  <Lines>102</Lines>
  <Paragraphs>28</Paragraphs>
  <ScaleCrop>false</ScaleCrop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2021-01-22T10:01:00Z</dcterms:created>
  <dcterms:modified xsi:type="dcterms:W3CDTF">2021-01-25T17:04:00Z</dcterms:modified>
</cp:coreProperties>
</file>