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E48F4" w:rsidRPr="000E335D">
        <w:rPr>
          <w:b/>
          <w:bCs/>
        </w:rPr>
        <w:t>4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C97CB2">
        <w:rPr>
          <w:b/>
          <w:bCs/>
        </w:rPr>
        <w:t>202</w:t>
      </w:r>
      <w:r w:rsidR="00604EBC">
        <w:rPr>
          <w:b/>
          <w:bCs/>
          <w:lang w:val="kk-KZ"/>
        </w:rPr>
        <w:t>5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79" w:rsidRDefault="006B7879" w:rsidP="00007C6B">
      <w:r>
        <w:separator/>
      </w:r>
    </w:p>
  </w:endnote>
  <w:endnote w:type="continuationSeparator" w:id="0">
    <w:p w:rsidR="006B7879" w:rsidRDefault="006B7879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6B7879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EBC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6B7879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79" w:rsidRDefault="006B7879" w:rsidP="00007C6B">
      <w:r>
        <w:separator/>
      </w:r>
    </w:p>
  </w:footnote>
  <w:footnote w:type="continuationSeparator" w:id="0">
    <w:p w:rsidR="006B7879" w:rsidRDefault="006B7879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77AD"/>
    <w:rsid w:val="001A777A"/>
    <w:rsid w:val="0023206A"/>
    <w:rsid w:val="0024035B"/>
    <w:rsid w:val="0035428B"/>
    <w:rsid w:val="00361245"/>
    <w:rsid w:val="003E1A2B"/>
    <w:rsid w:val="003F3469"/>
    <w:rsid w:val="00487351"/>
    <w:rsid w:val="004B0429"/>
    <w:rsid w:val="004E48F4"/>
    <w:rsid w:val="00516BD9"/>
    <w:rsid w:val="0054046F"/>
    <w:rsid w:val="005408AB"/>
    <w:rsid w:val="00604EBC"/>
    <w:rsid w:val="006776F3"/>
    <w:rsid w:val="006B7879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D1743B"/>
    <w:rsid w:val="00D82C23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Каналбай Шәмші Мұхтарұлы</cp:lastModifiedBy>
  <cp:revision>13</cp:revision>
  <cp:lastPrinted>2020-03-17T05:25:00Z</cp:lastPrinted>
  <dcterms:created xsi:type="dcterms:W3CDTF">2018-11-28T04:48:00Z</dcterms:created>
  <dcterms:modified xsi:type="dcterms:W3CDTF">2025-01-15T11:00:00Z</dcterms:modified>
</cp:coreProperties>
</file>