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23" w:rsidRPr="008A1523" w:rsidRDefault="008A1523" w:rsidP="008A1523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E3182">
        <w:rPr>
          <w:rFonts w:ascii="Times New Roman" w:hAnsi="Times New Roman" w:cs="Times New Roman"/>
          <w:b/>
        </w:rPr>
        <w:t>Приложение №</w:t>
      </w:r>
      <w:r w:rsidR="001E3182" w:rsidRPr="001E3182">
        <w:rPr>
          <w:rFonts w:ascii="Times New Roman" w:hAnsi="Times New Roman" w:cs="Times New Roman"/>
          <w:b/>
        </w:rPr>
        <w:t xml:space="preserve"> </w:t>
      </w:r>
      <w:r w:rsidR="005C7E6F">
        <w:rPr>
          <w:rFonts w:ascii="Times New Roman" w:hAnsi="Times New Roman" w:cs="Times New Roman"/>
          <w:b/>
        </w:rPr>
        <w:t>___</w:t>
      </w:r>
    </w:p>
    <w:p w:rsidR="008A1523" w:rsidRPr="008A1523" w:rsidRDefault="008A1523" w:rsidP="008A1523">
      <w:pPr>
        <w:spacing w:after="0"/>
        <w:jc w:val="right"/>
        <w:rPr>
          <w:rFonts w:ascii="Times New Roman" w:hAnsi="Times New Roman" w:cs="Times New Roman"/>
        </w:rPr>
      </w:pPr>
      <w:r w:rsidRPr="008A1523">
        <w:rPr>
          <w:rFonts w:ascii="Times New Roman" w:hAnsi="Times New Roman" w:cs="Times New Roman"/>
        </w:rPr>
        <w:t>к Договору о закупках товаров</w:t>
      </w:r>
    </w:p>
    <w:p w:rsidR="008A1523" w:rsidRPr="008A1523" w:rsidRDefault="008A1523" w:rsidP="008A1523">
      <w:pPr>
        <w:spacing w:after="0"/>
        <w:jc w:val="right"/>
        <w:rPr>
          <w:rFonts w:ascii="Times New Roman" w:hAnsi="Times New Roman" w:cs="Times New Roman"/>
        </w:rPr>
      </w:pPr>
      <w:r w:rsidRPr="008A1523">
        <w:rPr>
          <w:rFonts w:ascii="Times New Roman" w:hAnsi="Times New Roman" w:cs="Times New Roman"/>
        </w:rPr>
        <w:t>№ ____ от «____»_______________202_г.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Ключевые показатели эффективности деятельности Поставщика и Методика расчета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по ЗКС «</w:t>
      </w:r>
      <w:r w:rsidR="005C7E6F" w:rsidRPr="00F57E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Нефтедобычные насосы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»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6E755B" w:rsidRPr="006E755B" w:rsidTr="005D7F51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Расчет баллов за показатель</w:t>
            </w:r>
          </w:p>
        </w:tc>
      </w:tr>
      <w:tr w:rsidR="006E755B" w:rsidRPr="006E755B" w:rsidTr="005D7F51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6E755B" w:rsidRPr="006E755B" w:rsidTr="005D7F51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исполнения обязательств по поставке в срок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количества отбракованной продукции на входном контроле 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12,5%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7,5%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7,5%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755B" w:rsidRPr="002C4544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454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переводятся в безразмерный множитель, как указано в Столбце «Баллы». Далее в целях определения баллов, которые присуждаются по каждому КПД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КПД (п. 1 – 2 Таблицы) суммируются.</w:t>
      </w:r>
    </w:p>
    <w:p w:rsidR="006E755B" w:rsidRPr="006E755B" w:rsidRDefault="006E755B" w:rsidP="002973D7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755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итоговые баллы по результатам оценки Поставщика эквивалентны следующим показателям:</w:t>
      </w:r>
    </w:p>
    <w:p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 w:rsidR="008A58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≥ 0,75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="0012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Поставщику дополнительные объемы поставки, путем подписания с Поставщиком дополнительного соглашения сроком от 1 до </w:t>
      </w:r>
      <w:r w:rsidR="005C7E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4A3" w:rsidRPr="001224A3">
        <w:rPr>
          <w:rFonts w:ascii="Times New Roman" w:eastAsia="Times New Roman" w:hAnsi="Times New Roman" w:cs="Times New Roman"/>
          <w:sz w:val="24"/>
          <w:szCs w:val="24"/>
        </w:rPr>
        <w:t>-х лет на условиях действующего договора</w:t>
      </w:r>
      <w:r w:rsidR="008A5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852" w:rsidRPr="006E755B" w:rsidRDefault="008A5852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≤ </w:t>
      </w: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подлежит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расторжению, закуп на следующий год проводится повторно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E755B" w:rsidRPr="006E755B" w:rsidRDefault="006E755B" w:rsidP="00E46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E755B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:rsidR="00AF75AA" w:rsidRPr="006E755B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:rsidR="00C56B6F" w:rsidRPr="006E755B" w:rsidRDefault="00C56B6F" w:rsidP="006E755B">
      <w:pPr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90472" w:rsidRDefault="005E7B95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срок-ф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срок-п</m:t>
              </m:r>
            </m:sub>
          </m:sSub>
        </m:oMath>
      </m:oMathPara>
    </w:p>
    <w:p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6E755B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Т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срок-ф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фактический срок поставки Товара с даты направления Заказчиком заявки на поставку; </w:t>
      </w:r>
    </w:p>
    <w:p w:rsidR="006E755B" w:rsidRPr="006E755B" w:rsidRDefault="006E755B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Т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срок-п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плановый срок поставки Товара с даты направления Заказчиком заявки на поставку</w:t>
      </w:r>
      <w:r w:rsidR="00AF75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E755B" w:rsidRDefault="006E755B" w:rsidP="00910D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количества отбракованной продукции на входном контроле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брак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процентное соотношение отбракованной продукции при осуществлении входного контроля. Расчитывается по следующей формуле:</w:t>
      </w:r>
    </w:p>
    <w:p w:rsidR="00D76829" w:rsidRPr="006E755B" w:rsidRDefault="00D76829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1" w:name="_Hlk116912944"/>
    <w:p w:rsidR="004F3519" w:rsidRDefault="005E7B95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брак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брак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брак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объем отбракованного Товара, выявленного по итогам входного контроля и (или) приемки Товара за отчетный период;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общий объем 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поставленного Товара за отчетный период.</w:t>
      </w:r>
    </w:p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4E53" w:rsidRPr="00334E53" w:rsidRDefault="00334E53" w:rsidP="00334E53">
      <w:pPr>
        <w:spacing w:after="0"/>
        <w:jc w:val="right"/>
        <w:rPr>
          <w:rFonts w:ascii="Times New Roman" w:hAnsi="Times New Roman" w:cs="Times New Roman"/>
          <w:b/>
        </w:rPr>
      </w:pPr>
      <w:r w:rsidRPr="00334E53">
        <w:rPr>
          <w:rFonts w:ascii="Times New Roman" w:hAnsi="Times New Roman" w:cs="Times New Roman"/>
        </w:rPr>
        <w:t>«____»______________202_г.</w:t>
      </w:r>
      <w:r w:rsidRPr="00334E53">
        <w:rPr>
          <w:rFonts w:ascii="Times New Roman" w:hAnsi="Times New Roman" w:cs="Times New Roman"/>
          <w:lang w:val="kk-KZ"/>
        </w:rPr>
        <w:t xml:space="preserve"> </w:t>
      </w:r>
      <w:r w:rsidRPr="00334E53">
        <w:rPr>
          <w:rFonts w:ascii="Times New Roman" w:hAnsi="Times New Roman" w:cs="Times New Roman"/>
          <w:b/>
        </w:rPr>
        <w:t>№ ____</w:t>
      </w:r>
      <w:r w:rsidR="009F62FF">
        <w:rPr>
          <w:rFonts w:ascii="Times New Roman" w:hAnsi="Times New Roman" w:cs="Times New Roman"/>
          <w:b/>
        </w:rPr>
        <w:t>___</w:t>
      </w:r>
      <w:r w:rsidRPr="00334E53">
        <w:rPr>
          <w:rFonts w:ascii="Times New Roman" w:hAnsi="Times New Roman" w:cs="Times New Roman"/>
          <w:b/>
        </w:rPr>
        <w:t xml:space="preserve">Шартқа </w:t>
      </w:r>
    </w:p>
    <w:p w:rsidR="00334E53" w:rsidRPr="00334E53" w:rsidRDefault="00334E53" w:rsidP="00334E53">
      <w:pPr>
        <w:jc w:val="right"/>
        <w:rPr>
          <w:rFonts w:ascii="Times New Roman" w:hAnsi="Times New Roman" w:cs="Times New Roman"/>
        </w:rPr>
      </w:pPr>
      <w:r w:rsidRPr="001E3182">
        <w:rPr>
          <w:rFonts w:ascii="Times New Roman" w:hAnsi="Times New Roman" w:cs="Times New Roman"/>
          <w:b/>
        </w:rPr>
        <w:t>№</w:t>
      </w:r>
      <w:r w:rsidR="001E3182">
        <w:rPr>
          <w:rFonts w:ascii="Times New Roman" w:hAnsi="Times New Roman" w:cs="Times New Roman"/>
          <w:b/>
        </w:rPr>
        <w:t xml:space="preserve"> </w:t>
      </w:r>
      <w:r w:rsidR="005C7E6F">
        <w:rPr>
          <w:rFonts w:ascii="Times New Roman" w:hAnsi="Times New Roman" w:cs="Times New Roman"/>
          <w:b/>
        </w:rPr>
        <w:t xml:space="preserve">____ </w:t>
      </w:r>
      <w:r w:rsidRPr="001E3182">
        <w:rPr>
          <w:rFonts w:ascii="Times New Roman" w:hAnsi="Times New Roman" w:cs="Times New Roman"/>
          <w:b/>
          <w:lang w:val="kk-KZ"/>
        </w:rPr>
        <w:t>Қ</w:t>
      </w:r>
      <w:r w:rsidRPr="001E3182">
        <w:rPr>
          <w:rFonts w:ascii="Times New Roman" w:hAnsi="Times New Roman" w:cs="Times New Roman"/>
          <w:b/>
        </w:rPr>
        <w:t>осымша</w:t>
      </w: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1F9D" w:rsidRDefault="00E21F9D" w:rsidP="00E21F9D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«</w:t>
      </w:r>
      <w:r w:rsidR="005C7E6F" w:rsidRPr="008444F4">
        <w:rPr>
          <w:rStyle w:val="ezkurwreuab5ozgtqnkl"/>
          <w:rFonts w:ascii="Times New Roman" w:hAnsi="Times New Roman" w:cs="Times New Roman"/>
          <w:b/>
          <w:sz w:val="24"/>
          <w:lang w:val="kk-KZ"/>
        </w:rPr>
        <w:t>Мұнай</w:t>
      </w:r>
      <w:r w:rsidR="005C7E6F" w:rsidRPr="008444F4">
        <w:rPr>
          <w:rFonts w:ascii="Times New Roman" w:hAnsi="Times New Roman" w:cs="Times New Roman"/>
          <w:b/>
          <w:sz w:val="24"/>
          <w:lang w:val="kk-KZ"/>
        </w:rPr>
        <w:t xml:space="preserve"> өндіру </w:t>
      </w:r>
      <w:r w:rsidR="005C7E6F" w:rsidRPr="008444F4">
        <w:rPr>
          <w:rStyle w:val="ezkurwreuab5ozgtqnkl"/>
          <w:rFonts w:ascii="Times New Roman" w:hAnsi="Times New Roman" w:cs="Times New Roman"/>
          <w:b/>
          <w:sz w:val="24"/>
          <w:lang w:val="kk-KZ"/>
        </w:rPr>
        <w:t>сорғылары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» ССС Өнім беруші</w:t>
      </w:r>
      <w:r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қызметінің негізгі көрсеткіштері және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  <w:r w:rsidRPr="00DF10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Е</w:t>
      </w:r>
      <w:r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септеу әдістемесі</w:t>
      </w:r>
    </w:p>
    <w:p w:rsidR="00E21F9D" w:rsidRDefault="00E21F9D" w:rsidP="00E21F9D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9"/>
        <w:gridCol w:w="2153"/>
        <w:gridCol w:w="2127"/>
        <w:gridCol w:w="1095"/>
        <w:gridCol w:w="1853"/>
        <w:gridCol w:w="1734"/>
      </w:tblGrid>
      <w:tr w:rsidR="00E21F9D" w:rsidRPr="006E755B" w:rsidTr="00A8482F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Ұпайлар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Көрсеткіштің үлес салмағы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E21F9D" w:rsidRPr="006E755B" w:rsidTr="00A8482F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E21F9D" w:rsidRPr="006E755B" w:rsidTr="00A8482F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Мерзімінде жеткізу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жөніндегі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міндеттемелерді орындау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≥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Кіріс бақылауындағы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бракқа шығарылған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өнім санының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12,5%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7,5%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7,5%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E21F9D" w:rsidRPr="006E755B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1F9D" w:rsidRPr="006E755B" w:rsidTr="00A8482F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F9D" w:rsidRPr="00FE6DE7" w:rsidRDefault="00E21F9D" w:rsidP="00A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ЖИЫНЫ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E21F9D" w:rsidRDefault="00E21F9D" w:rsidP="00E21F9D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E21F9D" w:rsidRPr="007E2BC4" w:rsidRDefault="00E21F9D" w:rsidP="00E21F9D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E21F9D" w:rsidRPr="004F4238" w:rsidRDefault="00E21F9D" w:rsidP="00E21F9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Көрсеткіштер 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бағанында көрсетілгендей өлшемсіз көбейткішке аударылады. Бұдан әрі әрбір ҚНК (Кестеде көрсетілген) бойынша берілетін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айқындау мақсатында салмақтық үлесті өлшемсіз көбейткішке («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бағанынан) көбейту қажет. Қорытынды алу үшін әрбір ҚНК алынған салмақтық үлестер қосылады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естенің 1-2 тармақтары).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E21F9D" w:rsidRPr="004F4238" w:rsidRDefault="00E21F9D" w:rsidP="00E21F9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Егер Өнім берушіні бағалау нәтижелері бойынша қорытынды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мынадай көрсеткіштерге баламалы болған жағдайда:</w:t>
      </w:r>
    </w:p>
    <w:p w:rsidR="00E21F9D" w:rsidRDefault="00E21F9D" w:rsidP="00E21F9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Ұпайларды есептеу бойынша қорытынды </w:t>
      </w:r>
      <w:r w:rsidRPr="00F81AD1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kk-KZ" w:eastAsia="ru-RU"/>
        </w:rPr>
        <w:t>≥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0,75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 Өнім берушімен қолданыстағы шарт талаптарында 1 жылдан </w:t>
      </w:r>
      <w:r w:rsidR="005C7E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жылға дейінгі мерзімге қосымша келісімге қол қою арқылы Өнім берушіге жеткізудің қосымша көлемін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ұсынуға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құқылы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E21F9D" w:rsidRPr="004F4238" w:rsidRDefault="00E21F9D" w:rsidP="00E21F9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0,5 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≤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Ұпайларды есептеу бойынша қорытынды</w:t>
      </w:r>
      <w:r w:rsidRPr="009B67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 бұзылуға жатады, сатып алу келесі жылға қайта жүргізіледі.</w:t>
      </w:r>
    </w:p>
    <w:p w:rsidR="00E21F9D" w:rsidRPr="004F4238" w:rsidRDefault="00E21F9D" w:rsidP="00E21F9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1F9D" w:rsidRPr="008E2397" w:rsidRDefault="00E21F9D" w:rsidP="00E21F9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МЕРЗІМІНДЕ ЖЕТКІЗУ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ЖӨНІНДЕГІ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МІНДЕТТЕМЕЛЕРДІ ОРЫНДАУ КОЭФФИЦИЕНТІ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.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</w:p>
    <w:p w:rsidR="00E21F9D" w:rsidRPr="004F4238" w:rsidRDefault="00E21F9D" w:rsidP="00E21F9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</w:p>
    <w:p w:rsidR="00E21F9D" w:rsidRDefault="00E21F9D" w:rsidP="00E2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F423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(К</w:t>
      </w:r>
      <w:r w:rsidRPr="00512E4A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мер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зім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Ө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нім берушінің Шартта көзделген мерзімдерде Тауарларды жеткізу жөніндегі міндеттемелерді орындауы бойынша көрсеткіштің сапасын сипаттайды. Келесі формула бойынша есептеледі:</w:t>
      </w:r>
    </w:p>
    <w:p w:rsidR="00E21F9D" w:rsidRDefault="00E21F9D" w:rsidP="00E2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E21F9D" w:rsidRDefault="005E7B95" w:rsidP="00E21F9D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мерзім-н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мерзім-ж</m:t>
              </m:r>
            </m:sub>
          </m:sSub>
        </m:oMath>
      </m:oMathPara>
    </w:p>
    <w:p w:rsidR="00E21F9D" w:rsidRPr="007E2BC4" w:rsidRDefault="00E21F9D" w:rsidP="00E21F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мындағы:</w:t>
      </w:r>
    </w:p>
    <w:p w:rsidR="00E21F9D" w:rsidRPr="007E2BC4" w:rsidRDefault="00E21F9D" w:rsidP="00E2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мерзім</w:t>
      </w: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-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н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 жеткізуге өтінім жіберген күннен бастап Тауарды жеткізудің нақты мерзімі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:rsidR="00E21F9D" w:rsidRPr="007E2BC4" w:rsidRDefault="00E21F9D" w:rsidP="00E2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мерзім</w:t>
      </w: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-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ж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 жеткізуге өтінім жіберген күннен бастап Тауарды жеткізудің жоспарлы мерзімі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21F9D" w:rsidRPr="007E2BC4" w:rsidRDefault="00E21F9D" w:rsidP="00E21F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21F9D" w:rsidRPr="007E73E2" w:rsidRDefault="00E21F9D" w:rsidP="00E21F9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КІРІС БАҚЫЛАУЫНДАҒЫ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БРАКҚА ШЫҒАРЫЛҒАН</w:t>
      </w:r>
      <w:r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ӨНІМ САНЫНЫҢ КОЭФФИЦИЕНТІ.</w:t>
      </w:r>
    </w:p>
    <w:p w:rsidR="00E21F9D" w:rsidRPr="007E73E2" w:rsidRDefault="00E21F9D" w:rsidP="00E21F9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21F9D" w:rsidRDefault="00E21F9D" w:rsidP="00E21F9D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Коэффициент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</w:t>
      </w:r>
      <w:r w:rsidRPr="00512E4A"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К</w:t>
      </w:r>
      <w:r w:rsidRPr="006D1C98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ак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>кіріс бақылауын жүзеге асыру кезінде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бракқа шығарылған</w:t>
      </w:r>
      <w:r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өнімнің пайыздық қатынасын сипаттайды. Келесі формула бойынша есептеледі:</w:t>
      </w:r>
    </w:p>
    <w:p w:rsidR="00E21F9D" w:rsidRDefault="00E21F9D" w:rsidP="00E21F9D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21F9D" w:rsidRDefault="005E7B95" w:rsidP="00E21F9D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брак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брак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 xml:space="preserve">  жеткізу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E21F9D" w:rsidRPr="007E2BC4" w:rsidRDefault="00E21F9D" w:rsidP="00E21F9D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мындағы:</w:t>
      </w:r>
    </w:p>
    <w:p w:rsidR="00E21F9D" w:rsidRPr="007E2BC4" w:rsidRDefault="00E21F9D" w:rsidP="00E21F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брак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кіріс бақылау және (немесе) есепті кезеңде Тауарды қабылдау қорытындылары бойынша анықталған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бракқа шығарылған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Тауардың көлемі;</w:t>
      </w:r>
    </w:p>
    <w:p w:rsidR="00E21F9D" w:rsidRPr="007E2BC4" w:rsidRDefault="00E21F9D" w:rsidP="00E21F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жалпы жеткізу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есепті кезеңде жеткізілген Тауардың жалпы көлемі.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ab/>
      </w:r>
    </w:p>
    <w:p w:rsidR="00E21F9D" w:rsidRDefault="00E21F9D" w:rsidP="00E21F9D">
      <w:pPr>
        <w:pStyle w:val="af"/>
        <w:spacing w:after="0"/>
        <w:ind w:left="0"/>
        <w:rPr>
          <w:i/>
          <w:lang w:val="kk-KZ"/>
        </w:rPr>
      </w:pPr>
    </w:p>
    <w:p w:rsidR="00E21F9D" w:rsidRDefault="00E21F9D" w:rsidP="00E21F9D">
      <w:pPr>
        <w:pStyle w:val="af"/>
        <w:spacing w:after="0"/>
        <w:ind w:left="0"/>
        <w:rPr>
          <w:i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762"/>
      </w:tblGrid>
      <w:tr w:rsidR="00E21F9D" w:rsidRPr="006E755B" w:rsidTr="00A8482F">
        <w:tc>
          <w:tcPr>
            <w:tcW w:w="4991" w:type="dxa"/>
          </w:tcPr>
          <w:p w:rsidR="00E21F9D" w:rsidRPr="006E755B" w:rsidRDefault="00E21F9D" w:rsidP="00A848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:rsidR="00E21F9D" w:rsidRPr="006E755B" w:rsidRDefault="00E21F9D" w:rsidP="00A848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Өнім беруші:</w:t>
            </w:r>
          </w:p>
        </w:tc>
      </w:tr>
      <w:tr w:rsidR="00E21F9D" w:rsidRPr="006E755B" w:rsidTr="00A8482F">
        <w:tc>
          <w:tcPr>
            <w:tcW w:w="4991" w:type="dxa"/>
          </w:tcPr>
          <w:p w:rsidR="00E21F9D" w:rsidRPr="006E755B" w:rsidRDefault="00E21F9D" w:rsidP="00A8482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E21F9D" w:rsidRPr="006E755B" w:rsidRDefault="00E21F9D" w:rsidP="00A8482F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E21F9D" w:rsidRPr="00FE6DE7" w:rsidRDefault="00E21F9D" w:rsidP="00A848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E21F9D" w:rsidRPr="00FE6DE7" w:rsidRDefault="00E21F9D" w:rsidP="00A8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F9D" w:rsidRPr="006E755B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E21F9D" w:rsidRPr="00FE6DE7" w:rsidRDefault="00E21F9D" w:rsidP="00A8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:rsidR="00E21F9D" w:rsidRDefault="00E21F9D" w:rsidP="00E21F9D">
      <w:pPr>
        <w:pStyle w:val="af"/>
        <w:spacing w:after="0"/>
        <w:ind w:left="0"/>
        <w:rPr>
          <w:i/>
          <w:lang w:val="kk-KZ"/>
        </w:rPr>
      </w:pPr>
    </w:p>
    <w:p w:rsidR="00E21F9D" w:rsidRDefault="00E21F9D" w:rsidP="00E21F9D">
      <w:pPr>
        <w:pStyle w:val="af"/>
        <w:spacing w:after="0"/>
        <w:ind w:left="0"/>
        <w:rPr>
          <w:i/>
          <w:lang w:val="kk-KZ"/>
        </w:rPr>
      </w:pPr>
    </w:p>
    <w:p w:rsidR="00E21F9D" w:rsidRPr="000976C4" w:rsidRDefault="00E21F9D" w:rsidP="00E21F9D">
      <w:pPr>
        <w:pStyle w:val="af"/>
        <w:spacing w:after="0"/>
        <w:ind w:left="0"/>
        <w:rPr>
          <w:i/>
          <w:lang w:val="kk-KZ"/>
        </w:rPr>
      </w:pPr>
    </w:p>
    <w:p w:rsidR="00E21F9D" w:rsidRDefault="00E21F9D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E21F9D" w:rsidSect="009F47A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95" w:rsidRDefault="005E7B95">
      <w:pPr>
        <w:spacing w:after="0" w:line="240" w:lineRule="auto"/>
      </w:pPr>
      <w:r>
        <w:separator/>
      </w:r>
    </w:p>
  </w:endnote>
  <w:endnote w:type="continuationSeparator" w:id="0">
    <w:p w:rsidR="005E7B95" w:rsidRDefault="005E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95" w:rsidRDefault="005E7B95">
      <w:pPr>
        <w:spacing w:after="0" w:line="240" w:lineRule="auto"/>
      </w:pPr>
      <w:r>
        <w:separator/>
      </w:r>
    </w:p>
  </w:footnote>
  <w:footnote w:type="continuationSeparator" w:id="0">
    <w:p w:rsidR="005E7B95" w:rsidRDefault="005E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14" w:rsidRPr="00AC1153" w:rsidRDefault="001E6614" w:rsidP="008A1523">
    <w:pPr>
      <w:pStyle w:val="aa"/>
      <w:tabs>
        <w:tab w:val="clear" w:pos="4677"/>
        <w:tab w:val="clear" w:pos="9355"/>
      </w:tabs>
      <w:ind w:right="120"/>
      <w:jc w:val="right"/>
      <w:rPr>
        <w:rFonts w:ascii="Times New Roman" w:hAnsi="Times New Roman" w:cs="Times New Roman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20BE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E3182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A5C77"/>
    <w:rsid w:val="002B16A8"/>
    <w:rsid w:val="002B3D09"/>
    <w:rsid w:val="002C0915"/>
    <w:rsid w:val="002C4544"/>
    <w:rsid w:val="002D474C"/>
    <w:rsid w:val="002D7723"/>
    <w:rsid w:val="002D7B37"/>
    <w:rsid w:val="002E2018"/>
    <w:rsid w:val="002E211D"/>
    <w:rsid w:val="002E6CB8"/>
    <w:rsid w:val="002F30EE"/>
    <w:rsid w:val="003005D9"/>
    <w:rsid w:val="003116A4"/>
    <w:rsid w:val="00324FB2"/>
    <w:rsid w:val="00330BF5"/>
    <w:rsid w:val="00334E53"/>
    <w:rsid w:val="00335C37"/>
    <w:rsid w:val="00337CBE"/>
    <w:rsid w:val="00344CDC"/>
    <w:rsid w:val="00344CF7"/>
    <w:rsid w:val="00350830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A2D57"/>
    <w:rsid w:val="004A58A2"/>
    <w:rsid w:val="004C5736"/>
    <w:rsid w:val="004D5380"/>
    <w:rsid w:val="004F2D2C"/>
    <w:rsid w:val="004F3519"/>
    <w:rsid w:val="004F5F4B"/>
    <w:rsid w:val="004F78AF"/>
    <w:rsid w:val="00506AB5"/>
    <w:rsid w:val="00510C8D"/>
    <w:rsid w:val="00511FC0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432A"/>
    <w:rsid w:val="005C5C12"/>
    <w:rsid w:val="005C5D27"/>
    <w:rsid w:val="005C7E6F"/>
    <w:rsid w:val="005D7922"/>
    <w:rsid w:val="005D7F51"/>
    <w:rsid w:val="005E52BD"/>
    <w:rsid w:val="005E7B95"/>
    <w:rsid w:val="006015FC"/>
    <w:rsid w:val="00605760"/>
    <w:rsid w:val="00624E35"/>
    <w:rsid w:val="0063031F"/>
    <w:rsid w:val="00642A79"/>
    <w:rsid w:val="006455F1"/>
    <w:rsid w:val="00645E54"/>
    <w:rsid w:val="00652FF4"/>
    <w:rsid w:val="00662C0A"/>
    <w:rsid w:val="00663C0B"/>
    <w:rsid w:val="00663CE0"/>
    <w:rsid w:val="0067223F"/>
    <w:rsid w:val="00675E80"/>
    <w:rsid w:val="006B7EBF"/>
    <w:rsid w:val="006C5E64"/>
    <w:rsid w:val="006C5E7E"/>
    <w:rsid w:val="006D3F0C"/>
    <w:rsid w:val="006E755B"/>
    <w:rsid w:val="006F6196"/>
    <w:rsid w:val="00706EC7"/>
    <w:rsid w:val="00717BF0"/>
    <w:rsid w:val="00722AE4"/>
    <w:rsid w:val="007324B5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54F9"/>
    <w:rsid w:val="007A623C"/>
    <w:rsid w:val="007A7CD2"/>
    <w:rsid w:val="007B2DAA"/>
    <w:rsid w:val="007B4A92"/>
    <w:rsid w:val="007D1300"/>
    <w:rsid w:val="007D20C0"/>
    <w:rsid w:val="007D28B7"/>
    <w:rsid w:val="007E55C6"/>
    <w:rsid w:val="007F20CD"/>
    <w:rsid w:val="007F340F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73758"/>
    <w:rsid w:val="0088390F"/>
    <w:rsid w:val="008867C7"/>
    <w:rsid w:val="00897D33"/>
    <w:rsid w:val="008A1523"/>
    <w:rsid w:val="008A5852"/>
    <w:rsid w:val="008A7EC3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4014"/>
    <w:rsid w:val="00980259"/>
    <w:rsid w:val="009952C8"/>
    <w:rsid w:val="009A1715"/>
    <w:rsid w:val="009B26BD"/>
    <w:rsid w:val="009D3922"/>
    <w:rsid w:val="009E7D0B"/>
    <w:rsid w:val="009F47A2"/>
    <w:rsid w:val="009F62FF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C1153"/>
    <w:rsid w:val="00AC6A90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2166"/>
    <w:rsid w:val="00B6388E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71035"/>
    <w:rsid w:val="00D76829"/>
    <w:rsid w:val="00D81984"/>
    <w:rsid w:val="00D87F7A"/>
    <w:rsid w:val="00D954C2"/>
    <w:rsid w:val="00D9768D"/>
    <w:rsid w:val="00DA1660"/>
    <w:rsid w:val="00DA3D3C"/>
    <w:rsid w:val="00DA77A9"/>
    <w:rsid w:val="00DB6BED"/>
    <w:rsid w:val="00DC7450"/>
    <w:rsid w:val="00DD1282"/>
    <w:rsid w:val="00DD3779"/>
    <w:rsid w:val="00DE388A"/>
    <w:rsid w:val="00DE6831"/>
    <w:rsid w:val="00E02CD5"/>
    <w:rsid w:val="00E10E24"/>
    <w:rsid w:val="00E21F9D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B61C0"/>
    <w:rsid w:val="00EC7DF3"/>
    <w:rsid w:val="00ED531C"/>
    <w:rsid w:val="00EE17E1"/>
    <w:rsid w:val="00EE191B"/>
    <w:rsid w:val="00EF63B8"/>
    <w:rsid w:val="00F12797"/>
    <w:rsid w:val="00F130C9"/>
    <w:rsid w:val="00F479EA"/>
    <w:rsid w:val="00F63386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Body Text Indent"/>
    <w:basedOn w:val="a"/>
    <w:link w:val="af0"/>
    <w:uiPriority w:val="99"/>
    <w:unhideWhenUsed/>
    <w:rsid w:val="00E21F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1F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zkurwreuab5ozgtqnkl">
    <w:name w:val="ezkurwreuab5ozgtqnkl"/>
    <w:basedOn w:val="a0"/>
    <w:rsid w:val="005C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1943-2E5B-4955-8BE9-BA0DC552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Liliya Agisheva</dc:creator>
  <cp:lastModifiedBy>Нурмагамбетов Багдад Тенелханович</cp:lastModifiedBy>
  <cp:revision>2</cp:revision>
  <cp:lastPrinted>2020-10-29T08:55:00Z</cp:lastPrinted>
  <dcterms:created xsi:type="dcterms:W3CDTF">2024-10-30T12:06:00Z</dcterms:created>
  <dcterms:modified xsi:type="dcterms:W3CDTF">2024-10-30T12:06:00Z</dcterms:modified>
</cp:coreProperties>
</file>