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0D" w:rsidRPr="00E513FD" w:rsidRDefault="00DF6E0D" w:rsidP="00DF6E0D">
      <w:pPr>
        <w:pStyle w:val="af4"/>
        <w:jc w:val="right"/>
        <w:rPr>
          <w:rFonts w:cs="Times New Roman"/>
          <w:b/>
        </w:rPr>
      </w:pPr>
      <w:bookmarkStart w:id="0" w:name="_GoBack"/>
      <w:bookmarkEnd w:id="0"/>
      <w:r w:rsidRPr="00E513FD">
        <w:rPr>
          <w:rFonts w:cs="Times New Roman"/>
          <w:b/>
        </w:rPr>
        <w:t xml:space="preserve">Приложение № </w:t>
      </w:r>
      <w:r w:rsidR="006212AC">
        <w:rPr>
          <w:rFonts w:cs="Times New Roman"/>
          <w:b/>
        </w:rPr>
        <w:t>6</w:t>
      </w:r>
    </w:p>
    <w:p w:rsidR="00DF6E0D" w:rsidRPr="00E513FD" w:rsidRDefault="00DF6E0D" w:rsidP="00DF6E0D">
      <w:pPr>
        <w:pStyle w:val="af4"/>
        <w:jc w:val="right"/>
        <w:rPr>
          <w:rFonts w:cs="Times New Roman"/>
          <w:b/>
        </w:rPr>
      </w:pPr>
      <w:r w:rsidRPr="00E513FD">
        <w:rPr>
          <w:rFonts w:cs="Times New Roman"/>
          <w:b/>
        </w:rPr>
        <w:t>к Договору №</w:t>
      </w:r>
      <w:r>
        <w:rPr>
          <w:rFonts w:cs="Times New Roman"/>
          <w:b/>
        </w:rPr>
        <w:t>________</w:t>
      </w:r>
      <w:r w:rsidRPr="00E513FD">
        <w:rPr>
          <w:rFonts w:cs="Times New Roman"/>
          <w:b/>
        </w:rPr>
        <w:t>_______</w:t>
      </w:r>
    </w:p>
    <w:p w:rsidR="00DF6E0D" w:rsidRPr="00E513FD" w:rsidRDefault="00DF6E0D" w:rsidP="00DF6E0D">
      <w:pPr>
        <w:pStyle w:val="af4"/>
        <w:jc w:val="right"/>
        <w:rPr>
          <w:rFonts w:cs="Times New Roman"/>
          <w:b/>
        </w:rPr>
      </w:pPr>
      <w:r w:rsidRPr="00E513FD">
        <w:rPr>
          <w:rFonts w:cs="Times New Roman"/>
          <w:b/>
        </w:rPr>
        <w:t>от «__»________20____г</w:t>
      </w:r>
    </w:p>
    <w:p w:rsidR="00DF6E0D" w:rsidRPr="00AC5924" w:rsidRDefault="00DF6E0D" w:rsidP="00DF6E0D">
      <w:pPr>
        <w:pStyle w:val="af4"/>
        <w:jc w:val="right"/>
        <w:rPr>
          <w:rFonts w:cs="Times New Roman"/>
          <w:b/>
        </w:rPr>
      </w:pPr>
    </w:p>
    <w:p w:rsidR="00FE1C32" w:rsidRDefault="00FE1C32" w:rsidP="00DF6E0D">
      <w:pPr>
        <w:pStyle w:val="af4"/>
        <w:jc w:val="center"/>
        <w:rPr>
          <w:rFonts w:cs="Times New Roman"/>
          <w:b/>
        </w:rPr>
      </w:pPr>
    </w:p>
    <w:p w:rsidR="00DF6E0D" w:rsidRDefault="00DF6E0D" w:rsidP="00DF6E0D">
      <w:pPr>
        <w:pStyle w:val="af4"/>
        <w:jc w:val="center"/>
        <w:rPr>
          <w:rFonts w:cs="Times New Roman"/>
          <w:b/>
        </w:rPr>
      </w:pPr>
      <w:r w:rsidRPr="00AC5924">
        <w:rPr>
          <w:rFonts w:cs="Times New Roman"/>
          <w:b/>
        </w:rPr>
        <w:t xml:space="preserve">Матрица распределения ответственности между </w:t>
      </w:r>
      <w:r>
        <w:rPr>
          <w:rFonts w:cs="Times New Roman"/>
          <w:b/>
        </w:rPr>
        <w:t>Заказчиком</w:t>
      </w:r>
      <w:r w:rsidRPr="00AC5924">
        <w:rPr>
          <w:rFonts w:cs="Times New Roman"/>
          <w:b/>
        </w:rPr>
        <w:t xml:space="preserve"> и Подрядчиком</w:t>
      </w:r>
    </w:p>
    <w:p w:rsidR="00DF6E0D" w:rsidRPr="00AC5924" w:rsidRDefault="00DF6E0D" w:rsidP="00DF6E0D">
      <w:pPr>
        <w:pStyle w:val="af4"/>
        <w:jc w:val="center"/>
        <w:rPr>
          <w:rFonts w:cs="Times New Roman"/>
          <w:b/>
        </w:rPr>
      </w:pPr>
    </w:p>
    <w:tbl>
      <w:tblPr>
        <w:tblStyle w:val="a6"/>
        <w:tblpPr w:leftFromText="180" w:rightFromText="180" w:vertAnchor="text" w:horzAnchor="margin" w:tblpY="140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418"/>
        <w:gridCol w:w="1335"/>
        <w:gridCol w:w="9580"/>
      </w:tblGrid>
      <w:tr w:rsidR="00DF6E0D" w:rsidTr="007A5B59">
        <w:tc>
          <w:tcPr>
            <w:tcW w:w="675" w:type="dxa"/>
            <w:vMerge w:val="restart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94706"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94706">
              <w:rPr>
                <w:rFonts w:cs="Times New Roman"/>
                <w:b/>
                <w:sz w:val="22"/>
                <w:szCs w:val="22"/>
              </w:rPr>
              <w:t>Наименование мероприятий</w:t>
            </w:r>
          </w:p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753" w:type="dxa"/>
            <w:gridSpan w:val="2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94706">
              <w:rPr>
                <w:rFonts w:cs="Times New Roman"/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9580" w:type="dxa"/>
            <w:vMerge w:val="restart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94706">
              <w:rPr>
                <w:rFonts w:cs="Times New Roman"/>
                <w:b/>
                <w:sz w:val="22"/>
                <w:szCs w:val="22"/>
              </w:rPr>
              <w:t>Описание</w:t>
            </w:r>
          </w:p>
        </w:tc>
      </w:tr>
      <w:tr w:rsidR="00DF6E0D" w:rsidTr="007A5B59">
        <w:tc>
          <w:tcPr>
            <w:tcW w:w="675" w:type="dxa"/>
            <w:vMerge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94706">
              <w:rPr>
                <w:rFonts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94706">
              <w:rPr>
                <w:rFonts w:cs="Times New Roman"/>
                <w:b/>
                <w:sz w:val="22"/>
                <w:szCs w:val="22"/>
              </w:rPr>
              <w:t>Подрядчик</w:t>
            </w:r>
          </w:p>
        </w:tc>
        <w:tc>
          <w:tcPr>
            <w:tcW w:w="9580" w:type="dxa"/>
            <w:vMerge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Договор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Предоставить в отдел ТБ, ОТ и ОС Заказчика:</w:t>
            </w:r>
          </w:p>
          <w:p w:rsidR="00DF6E0D" w:rsidRPr="00E94706" w:rsidRDefault="00DF6E0D" w:rsidP="007A5B59">
            <w:pPr>
              <w:pStyle w:val="af4"/>
              <w:numPr>
                <w:ilvl w:val="0"/>
                <w:numId w:val="46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 xml:space="preserve">Копию подписанного договора между Заказчиком и подрядчиком. </w:t>
            </w:r>
          </w:p>
          <w:p w:rsidR="00DF6E0D" w:rsidRPr="00E94706" w:rsidRDefault="00DF6E0D" w:rsidP="007A5B59">
            <w:pPr>
              <w:pStyle w:val="af4"/>
              <w:numPr>
                <w:ilvl w:val="0"/>
                <w:numId w:val="46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Копию договора подрядчика на вывоз производственных, твердых и жидких отходов в процессе деятельности.</w:t>
            </w:r>
          </w:p>
          <w:p w:rsidR="00DF6E0D" w:rsidRPr="00E94706" w:rsidRDefault="00DF6E0D" w:rsidP="007A5B59">
            <w:pPr>
              <w:pStyle w:val="af4"/>
              <w:numPr>
                <w:ilvl w:val="0"/>
                <w:numId w:val="46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Копия договора обязательного страхования работников подрядчика от несчастных случаев при исполнении им трудовых (служебных) обязанностей.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 xml:space="preserve">Список работников / транспорта (в табличной форме) 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 xml:space="preserve">Подрядчик должен до начала работ предоставить список работников (с указанием полностью Ф.И.О. профессий), автотранспорта Подрядчика. 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Приказы о назначении ответственных лиц.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 xml:space="preserve">Лицо, осуществляющее строительство (подрядчик, генподрядчик) своими распорядительными документами (приказами) назначает ответственного производителя работ по эксплуатации ГПМ, за электрохозяйство, сосудов, работающих под давлением, по пожарной безопасности. 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Проверка знаний в области безопасности и охраны труда, промышленной и пожарной безопасности, электробезопасности, безопасной эксплуатации грузоподъемных кранов и механизмов.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Подрядчик должен обеспечить обучение и проверку знаний работников в области безопасности и охраны труда, промышленной и пожарной безопасности, электробезопасности, безопасной эксплуатации грузоподъемных кранов и механизмов по необходимости и подтвердить соответствующими документами с учебного центра (протокола, удостоверение, сертификаты и т.д.). До начала работ все документы предоставить на проверку в отдел ТБ, ОТиОС Заказчика, г.Актау 23 мкр. зд. АСМУ.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Вводный инструктаж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До начала производства работ Подрядчик должен в обязательном порядке пройти вводный инструктаж в отделе техники безопасности, охраны труда и окружающей среды у Заказчика и по необходимости у генерального заказчика.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Инструктажи по охране труда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Подрядчик должен обеспечить проведение всех видов инструктажей в соответствие с нормами РК (вводный, первичный на рабочем месте, повторный, внеплановый, целевой).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Ежемесячный отчет</w:t>
            </w:r>
          </w:p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 xml:space="preserve"> по форме КИСУД-2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 xml:space="preserve">Подрядчик должен предоставить ежемесячный отчет до 10 числа каждого месяца </w:t>
            </w:r>
          </w:p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«Сведения по безопасности и охране труда в подрядных организациях (Форма отчета KMG-2)»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Перед началом работ Подрядчик обязан обеспечить работника средствами индивидуальной защиты в соответствие с нормами РК. Также предоставить сертификаты на применяемые СИЗ.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Каждое рабочее место должно быть обеспечено первичными средствами пожаротушения.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Соблюдение правил внутреннего распорядка, безопасного производства работ, пожарной безопасности, экологической безопасности на территории действующего предприятия.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Подрядчик обязан соблюдать правила внутреннего распорядка, безопасного производства работ, пожарной безопасности, экологической безопасности на территории действующего предприятия.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11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 xml:space="preserve">Наряд допуск 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 xml:space="preserve">Подрядчик должен оформить наряд допуск перед началом работ повышенной опасностью. 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Графики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12.1.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График 1-го уровня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 xml:space="preserve">График основных мероприятий и этапов проекта, фиксирует сроки начала и окончания работ. 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12.2.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График 2-го уровня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График включает информацию графика 1-го уровня в более расширенном виде и является суммированным графиком 3-го уровня. График используется как вид отчетности для Заказчика. Данный график является приложением к Договору.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12.3.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График 3-го уровня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Интегрированный обзор критического пути проекта. Этот график является интегрированным графиком 4-го уровня. На этапе выполнения проекта этот график определяет общий критический путь и является основным инструментом координации проекта в целом. Работы необходимо указать с их длительностью и взаимосвязями. Ежедневный отчет должны быть построен на базе графика 3-го уровня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12.4.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График 4-го уровня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Более детализированный график уровня 3 с возможностью внесения изменении, выполнения обновлении.  Работы необходимо указать с их длительностью и взаимосвязями. Данный график предоставляется по требованию Заказчика.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12.5.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Ресурсный график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Этот график представляет собой интегрированный график 4-го уровня с загрузкой ресурсов. Типы ресурсов: трудовые, материальные и затратные (финансовые). Ресурсный график, отражающий расходы различных ресурсов на каждую операцию.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Отчетность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13.1.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Ежедневный отчет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Ежедневный отчет отображает:</w:t>
            </w:r>
          </w:p>
          <w:p w:rsidR="00DF6E0D" w:rsidRPr="00E94706" w:rsidRDefault="00DF6E0D" w:rsidP="007A5B59">
            <w:pPr>
              <w:pStyle w:val="af1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Статус продвижения работ на каждом рабочем участке;</w:t>
            </w:r>
          </w:p>
          <w:p w:rsidR="00DF6E0D" w:rsidRPr="00E94706" w:rsidRDefault="00DF6E0D" w:rsidP="007A5B59">
            <w:pPr>
              <w:pStyle w:val="af1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Ежедневный список персонала, работающего на каждом рабочем участке;</w:t>
            </w:r>
          </w:p>
          <w:p w:rsidR="00DF6E0D" w:rsidRPr="00E94706" w:rsidRDefault="00DF6E0D" w:rsidP="007A5B59">
            <w:pPr>
              <w:pStyle w:val="af1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Ежедневный список оборудования и механизмов, работающих на каждом рабочем участке в установленной форме Заказчика.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13.2.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Еженедельный отчет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Еженедельный отчет отображает:</w:t>
            </w:r>
          </w:p>
          <w:p w:rsidR="00DF6E0D" w:rsidRPr="00E94706" w:rsidRDefault="00DF6E0D" w:rsidP="007A5B59">
            <w:pPr>
              <w:pStyle w:val="af1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Фактический процент выполненных работ относительно запланированного (общий объем выполненных работ и по дисциплинам) за предыдущую неделю и сводный;</w:t>
            </w:r>
          </w:p>
          <w:p w:rsidR="00DF6E0D" w:rsidRPr="00E94706" w:rsidRDefault="00DF6E0D" w:rsidP="007A5B59">
            <w:pPr>
              <w:pStyle w:val="af1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Данные, касающиеся критических документов либо чертежей;</w:t>
            </w:r>
          </w:p>
          <w:p w:rsidR="00DF6E0D" w:rsidRPr="00E94706" w:rsidRDefault="00DF6E0D" w:rsidP="007A5B59">
            <w:pPr>
              <w:pStyle w:val="af1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Данные о трудовых ресурсах за неделю с разбивкой по дисциплинам за фактический и запланированный периоды на следующую неделю;</w:t>
            </w:r>
          </w:p>
          <w:p w:rsidR="00DF6E0D" w:rsidRPr="00E94706" w:rsidRDefault="00DF6E0D" w:rsidP="007A5B59">
            <w:pPr>
              <w:pStyle w:val="af1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Показатели и статистика по ОТ, ТБ и ООС (за период и накопленные на текущую дату);</w:t>
            </w:r>
          </w:p>
          <w:p w:rsidR="00DF6E0D" w:rsidRPr="00E94706" w:rsidRDefault="00DF6E0D" w:rsidP="007A5B59">
            <w:pPr>
              <w:pStyle w:val="af1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lastRenderedPageBreak/>
              <w:t>Статус любых происшествий;</w:t>
            </w:r>
          </w:p>
          <w:p w:rsidR="00DF6E0D" w:rsidRPr="00E94706" w:rsidRDefault="00DF6E0D" w:rsidP="007A5B59">
            <w:pPr>
              <w:pStyle w:val="af1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Статус проводящийся расследований. Установленной форме Заказчика.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lastRenderedPageBreak/>
              <w:t>13.3.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Реестр заказов на закупку/договора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Детальный отчет по статусу работ в отношении всех заявок на материалы и субподряды. В каждом отчете указываются предполагаемые и конечные сроки размещения заказов и заключения субподрядов для обеспечения графика. Также указывается период изготовления, поставки и мобилизации. График обновляется с учетом запланированных, фактических, прогнозируемых дат для каждого отдельного заказа на закупку.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13.4.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Отчет по трудозатратам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  <w:lang w:bidi="th-TH"/>
              </w:rPr>
            </w:pPr>
            <w:r w:rsidRPr="00E94706">
              <w:rPr>
                <w:sz w:val="22"/>
                <w:szCs w:val="22"/>
                <w:lang w:bidi="th-TH"/>
              </w:rPr>
              <w:t>Гистограммы трудозатрат должны быть представлены для каждого рабочего участка. Гистограммы должны четко обозначать планируемое количество человеко-часов в неделю. Гистограммы будут использоваться для отслеживания первоначальных человеко-часов, отредактированных исходных человеко-часов, фактически затраченных человеко-часов, планируемых, прогнозных и освоенных часов относительно исходных. Отчёты этой категории предоставляются еженедельно или с иной периодичностью, предусмотренной Заказчиком.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13.5.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color w:val="000000"/>
                <w:sz w:val="22"/>
                <w:szCs w:val="22"/>
                <w:shd w:val="clear" w:color="auto" w:fill="FFFFFF"/>
              </w:rPr>
              <w:t xml:space="preserve">Графическое представление прогресса проекта </w:t>
            </w:r>
            <w:r w:rsidRPr="00E94706">
              <w:rPr>
                <w:sz w:val="22"/>
                <w:szCs w:val="22"/>
                <w:lang w:bidi="th-TH"/>
              </w:rPr>
              <w:t>(S-кривая).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  <w:lang w:bidi="th-TH"/>
              </w:rPr>
            </w:pPr>
            <w:r w:rsidRPr="00E94706">
              <w:rPr>
                <w:sz w:val="22"/>
                <w:szCs w:val="22"/>
              </w:rPr>
              <w:t>Подрядчик</w:t>
            </w:r>
            <w:r w:rsidRPr="00E94706">
              <w:rPr>
                <w:sz w:val="22"/>
                <w:szCs w:val="22"/>
                <w:lang w:bidi="th-TH"/>
              </w:rPr>
              <w:t xml:space="preserve"> разрабатывает и обновляет серии кривых продвижения работ (S-кривых). Исходные кривые продвижения работ должны быть построены на основе профилей человеко-часов ранних этапов начала и поздних этапов завершения работ, разработанных на основе графика 2-го уровня с привязкой к человеко-часам.</w:t>
            </w:r>
          </w:p>
          <w:p w:rsidR="00DF6E0D" w:rsidRPr="00E94706" w:rsidRDefault="00DF6E0D" w:rsidP="007A5B59">
            <w:pPr>
              <w:jc w:val="both"/>
              <w:rPr>
                <w:sz w:val="22"/>
                <w:szCs w:val="22"/>
                <w:lang w:bidi="th-TH"/>
              </w:rPr>
            </w:pPr>
            <w:r w:rsidRPr="00E94706">
              <w:rPr>
                <w:sz w:val="22"/>
                <w:szCs w:val="22"/>
                <w:lang w:bidi="th-TH"/>
              </w:rPr>
              <w:t>S-кривые должны быть представлены в качестве составной части еженедельного отчета.</w:t>
            </w:r>
          </w:p>
          <w:p w:rsidR="00DF6E0D" w:rsidRPr="00E94706" w:rsidRDefault="00DF6E0D" w:rsidP="007A5B59">
            <w:pPr>
              <w:jc w:val="both"/>
              <w:rPr>
                <w:sz w:val="22"/>
                <w:szCs w:val="22"/>
                <w:lang w:bidi="th-TH"/>
              </w:rPr>
            </w:pPr>
            <w:r w:rsidRPr="00E94706">
              <w:rPr>
                <w:sz w:val="22"/>
                <w:szCs w:val="22"/>
                <w:lang w:bidi="th-TH"/>
              </w:rPr>
              <w:t>Периодичность предоставления может изменяться по требованию Заказчика. Они должны отображать первоначальную исходную кривую, фактическую кривую продвижения работ и прогнозную кривую.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14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Технические условия на подключение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Технические условия на подключение к источникам инженерного и коммунального обеспечения в запрашиваемых (расчетных) параметрах, требующихся для строительства и устойчивого функционирования, введенного впоследствии в эксплуатацию объекта.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15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Технические условия на пересечения с существующими сооружениями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00"/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00"/>
              <w:jc w:val="center"/>
              <w:rPr>
                <w:rStyle w:val="s0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Технические условия (со схемами трасс)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трассы, выдаваемыми собственниками.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 xml:space="preserve">Приказ на </w:t>
            </w:r>
            <w:r w:rsidRPr="00E94706">
              <w:rPr>
                <w:rStyle w:val="s0"/>
                <w:sz w:val="22"/>
                <w:szCs w:val="22"/>
              </w:rPr>
              <w:t>ответственного представителя технадзора застройщика (заказчика)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00"/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00"/>
              <w:jc w:val="center"/>
              <w:rPr>
                <w:rStyle w:val="s0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Застройщик (заказчик) своими распорядительными документами (приказами) назначает ответственного представителя технадзора.</w:t>
            </w:r>
          </w:p>
          <w:p w:rsidR="00DF6E0D" w:rsidRPr="00E94706" w:rsidRDefault="00DF6E0D" w:rsidP="007A5B59">
            <w:pPr>
              <w:ind w:firstLine="426"/>
              <w:jc w:val="both"/>
              <w:rPr>
                <w:sz w:val="22"/>
                <w:szCs w:val="22"/>
              </w:rPr>
            </w:pP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17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 xml:space="preserve">Приказ на </w:t>
            </w:r>
            <w:r w:rsidRPr="00E94706">
              <w:rPr>
                <w:rStyle w:val="s0"/>
                <w:sz w:val="22"/>
                <w:szCs w:val="22"/>
              </w:rPr>
              <w:t>ответственного представителя авторского надзора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00"/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00"/>
              <w:jc w:val="center"/>
              <w:rPr>
                <w:rStyle w:val="s0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Лицо, осуществившее подготовку проектной документации (проектировщик) своими распорядительными документами (приказами) назначает ответственного представителя авторского надзора.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18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 xml:space="preserve">Приказ на </w:t>
            </w:r>
            <w:r w:rsidRPr="00E94706">
              <w:rPr>
                <w:rStyle w:val="s0"/>
                <w:sz w:val="22"/>
                <w:szCs w:val="22"/>
              </w:rPr>
              <w:t>ответственного производителя работ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Лицо, осуществляющее строительство (подрядчик, генподрядчик) своими распорядительными документами (приказами) назначает ответственного производителя работ.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19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Проектная (проектно-сметная) документация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Заказчик строительства обязано начала производства строительно-монтажных работ (в течение 5 дней после подписания контракта) передать Подрядчику утвержденную проектную (проектно-сметную) документацию в 1(одном) экземпляре.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20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 xml:space="preserve">Проект организации </w:t>
            </w:r>
            <w:r w:rsidRPr="00E94706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ind w:firstLine="400"/>
              <w:jc w:val="center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lastRenderedPageBreak/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ind w:firstLine="400"/>
              <w:jc w:val="center"/>
              <w:rPr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 xml:space="preserve">Проект организации строительства разрабатывает лицо, осуществляющее подготовку проектной </w:t>
            </w:r>
            <w:r w:rsidRPr="00E94706">
              <w:rPr>
                <w:sz w:val="22"/>
                <w:szCs w:val="22"/>
              </w:rPr>
              <w:lastRenderedPageBreak/>
              <w:t>документации, в составе проектной документации, утверждаемой застройщиком (заказчиком) и передаваемой им лицу, осуществляющему строительство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Проект производства работ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Проект производства работ (далее - ППР) разрабатывается лицом, осуществляющим строительство.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22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Контроль качества строительства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Подрядчик обязан осуществлять все виды и формы собственного производственного контроля качества строительства (входной, операционный, промежуточный, приемочный, лабораторный, геодезический и другие) с оформлением и предоставлением всех подтверждающих документов в установленном порядке.</w:t>
            </w:r>
          </w:p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Устранение некачественных работ выполняется за счет сил и средств Подрядчика.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23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Технологическая документация (ППР, ПОС, технологические карты, регламенты, и т.п.)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Лицо, осуществляющее строительство должно иметь в наличие технологическую документацию (ППР, ПОС, технологические карты, регламенты, и т.п.) на все выполняемые им виды работ, в том числе на геодезические разбивочные работы, включая детальную разбивку.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24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Лаборатория для выполнения испытаний материалов и изделий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Лицо, осуществляющее строительство должно иметь в наличие лабораторию для выполнения испытаний материалов и изделий при входном контроле и контроле качества материалов и изделий, изготавливаемых собственными силами, а также наличие договоров с независимой лабораторией на выполнение тех видов испытаний, которые не выполняются лабораторией лица, осуществляющего строительство.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25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Средства измерений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Лицо, осуществляющее строительство должно иметь в наличие необходимые средства измерений, испытательные оборудования, методиками контроля измерений и испытаний, которые соответствуют требованиям Государственной системы единства измерений;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26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Квалификационные документы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Лицо, осуществляющее строительство должно иметь в наличие достаточное количество квалифицированных работников, подтвержденных соответствующими документами;</w:t>
            </w:r>
          </w:p>
          <w:p w:rsidR="00DF6E0D" w:rsidRPr="00E94706" w:rsidRDefault="00DF6E0D" w:rsidP="007A5B59">
            <w:pPr>
              <w:ind w:firstLine="400"/>
              <w:jc w:val="both"/>
              <w:rPr>
                <w:sz w:val="22"/>
                <w:szCs w:val="22"/>
              </w:rPr>
            </w:pP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27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Организационная документация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Лицо, осуществляющее строительство должно иметь в наличие организационную документацию, устанавливающую персональную ответственность за выполнение и достоверность результатов всех видов контроля, а также документирование этих результатов.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28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Акт о передаче строительной площадки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Застройщик (заказчик) передает строительную площадку лицу, осуществляющему строительство по акту.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29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Разрешительные документы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Заказчик строительства обязан обеспечить объект всеми необходимыми разрешительными документами, предусмотренными законодательством Республики Казахстан.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30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Допуск на объект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Для доступа на объект Подрядчик должен за 7-10 рабочих дней до начала производства работ предоставить перечень транспорта, оборудовании и персонала.</w:t>
            </w:r>
          </w:p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Лица, не являющиеся гражданами Республики Казахстан должны предоставить документы, согласованные с миграционными службами РК.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30.1.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Список персонала и оборудования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Предоставляет Подрядчик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30.2.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Пропуск по установленной форме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Заказчик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31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 xml:space="preserve">Материалы, спецтехника, </w:t>
            </w:r>
            <w:r w:rsidRPr="00E94706">
              <w:rPr>
                <w:rStyle w:val="s0"/>
                <w:sz w:val="22"/>
                <w:szCs w:val="22"/>
              </w:rPr>
              <w:lastRenderedPageBreak/>
              <w:t>ГСМ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 xml:space="preserve">В случае предоставления Заказчиком материалов, спецтехники, Подрядчику необходимо </w:t>
            </w:r>
            <w:r w:rsidRPr="00E94706">
              <w:rPr>
                <w:rStyle w:val="s0"/>
                <w:sz w:val="22"/>
                <w:szCs w:val="22"/>
              </w:rPr>
              <w:lastRenderedPageBreak/>
              <w:t>предоставлять заявку не менее чем за 3 рабочих дней.</w:t>
            </w:r>
          </w:p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Все переданное оборудование Подрядчик должен содержать в технически исправном состоянии.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Геодезическая разбивочная основа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Застройщик (заказчик) обеспечивает вынос на площадку геодезической разбивочной основы привлекаемым на основании договора лицом, имеющим соответствующее разрешение на допуск к работам по созданию опорных геодезических сетей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33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Геодезическая разбивка в натуре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 xml:space="preserve">Лицо, осуществляющее строительство на основе проектной документации должен подготовить схемы расположения разбиваемых в натуре осей зданий и сооружений, знаков закрепления этих осей и монтажных ориентиров, а также схемы расположения конструкций и их элементов относительно этих осей и ориентиров. 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34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Ограждение строительной площадки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Лицо, осуществляющее строительство до начала любых работ ограждает строительную площадку и опасные зоны работ за ее пределами в соответствии с требованиями нормативных документов.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34.1.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Ограждение по периметру строительной площадки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Заказчик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34.2.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Ограждение рабочего участка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Подрядчик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35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Информационный щит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При въезде на площадку следует установить информационные щиты с указанием наименования объекта, названия застройщика (заказчика), исполнителя работ (подрядчика, генподрядчика), фамилии, должности и номеров телефонов ответственного производителя работ по объекту и представителя органа Госархстройконтроля и надзора или местного исполнительного органа, курирующего строительство, сроков начала и окончания строительно-монтажных работ, схемы объекта и требований к СИЗ.</w:t>
            </w:r>
          </w:p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36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Исполнительная техническая документация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Подрядчик обязан обеспечить надлежащее и своевременное ведение исполнительной технической документации и совместно с ответственным ИТР ОСС подписывать соответствующие акты (акты скрытых работ, промежуточной приемки ответственных конструкций, испытаний и др.) у Заказчика строительства.</w:t>
            </w:r>
          </w:p>
        </w:tc>
      </w:tr>
      <w:tr w:rsidR="00DF6E0D" w:rsidTr="007A5B59">
        <w:tc>
          <w:tcPr>
            <w:tcW w:w="675" w:type="dxa"/>
            <w:vMerge w:val="restart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37</w:t>
            </w:r>
          </w:p>
        </w:tc>
        <w:tc>
          <w:tcPr>
            <w:tcW w:w="2835" w:type="dxa"/>
            <w:vMerge w:val="restart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Акт приемки выполненных строительно-монтажных работ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Подрядчик оформляет Акт выполненных строительно-монтажных работ (Форма 2-В) и предоставляет ответственным лицам Заказчика. Оплата производится после утверждения Акта выполненных работ со стороны Генерального Заказчика.</w:t>
            </w:r>
          </w:p>
        </w:tc>
      </w:tr>
      <w:tr w:rsidR="00DF6E0D" w:rsidTr="007A5B59">
        <w:tc>
          <w:tcPr>
            <w:tcW w:w="675" w:type="dxa"/>
            <w:vMerge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Ответственные лица ОСС оформляют и подписывают Генеральным Заказчиком Акты выполненных строительно-монтажных работ (Форма 2-В).</w:t>
            </w:r>
          </w:p>
        </w:tc>
      </w:tr>
      <w:tr w:rsidR="00DF6E0D" w:rsidTr="007A5B59">
        <w:tc>
          <w:tcPr>
            <w:tcW w:w="675" w:type="dxa"/>
            <w:vMerge w:val="restart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38</w:t>
            </w:r>
          </w:p>
        </w:tc>
        <w:tc>
          <w:tcPr>
            <w:tcW w:w="2835" w:type="dxa"/>
            <w:vMerge w:val="restart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Извещение о готовности объекта к приемке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Заказчик после получения от подрядчика письменного извещения о готовности объекта к приемке в эксплуатацию осуществляет приемку объекта в эксплуатацию.</w:t>
            </w:r>
          </w:p>
        </w:tc>
      </w:tr>
      <w:tr w:rsidR="00DF6E0D" w:rsidTr="007A5B59">
        <w:tc>
          <w:tcPr>
            <w:tcW w:w="675" w:type="dxa"/>
            <w:vMerge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Генеральный Заказчик после получения от подрядчика (генерального подрядчика) письменного извещения о готовности объекта к приемке в эксплуатацию осуществляет приемку объекта в эксплуатацию.</w:t>
            </w: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39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 xml:space="preserve">Запрос декларации о соответствии, заключения о качестве строительно-монтажных работ и </w:t>
            </w:r>
            <w:r w:rsidRPr="00E94706">
              <w:rPr>
                <w:rStyle w:val="s0"/>
                <w:sz w:val="22"/>
                <w:szCs w:val="22"/>
              </w:rPr>
              <w:lastRenderedPageBreak/>
              <w:t>соответствии выполненных работ проекту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lastRenderedPageBreak/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Со дня получения извещения от подрядчика (генерального подрядчика) о готовности объекта заказчик запрашивает у подрядчика (генерального подрядчика) и лиц, осуществляющих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</w:tr>
      <w:tr w:rsidR="00DF6E0D" w:rsidTr="007A5B59">
        <w:trPr>
          <w:trHeight w:val="460"/>
        </w:trPr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40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Декларация о соответствии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  <w:r w:rsidRPr="00E94706">
              <w:rPr>
                <w:rFonts w:cs="Times New Roman"/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pStyle w:val="af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0" w:type="dxa"/>
            <w:vMerge w:val="restart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Подрядчик (генеральный подрядчик) и лица, осуществляющие технический и авторский надзоры, в течение трех рабочих дней со дня получения запроса от заказчика представляют декларацию о соответствии, заключения о качестве строительно-монтажных работ и соответствии выполненных работ проекту либо отрицательные заключения.</w:t>
            </w:r>
          </w:p>
        </w:tc>
      </w:tr>
      <w:tr w:rsidR="00DF6E0D" w:rsidTr="007A5B59">
        <w:trPr>
          <w:trHeight w:val="460"/>
        </w:trPr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41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Заключение о качестве строительно-монтажных работ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</w:p>
        </w:tc>
        <w:tc>
          <w:tcPr>
            <w:tcW w:w="9580" w:type="dxa"/>
            <w:vMerge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</w:p>
        </w:tc>
      </w:tr>
      <w:tr w:rsidR="00DF6E0D" w:rsidTr="007A5B59">
        <w:trPr>
          <w:trHeight w:val="460"/>
        </w:trPr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42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Заключение о соответствии выполненных работ проекту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</w:p>
        </w:tc>
        <w:tc>
          <w:tcPr>
            <w:tcW w:w="9580" w:type="dxa"/>
            <w:vMerge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</w:p>
        </w:tc>
      </w:tr>
      <w:tr w:rsidR="00DF6E0D" w:rsidTr="007A5B59">
        <w:tc>
          <w:tcPr>
            <w:tcW w:w="67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43</w:t>
            </w:r>
          </w:p>
        </w:tc>
        <w:tc>
          <w:tcPr>
            <w:tcW w:w="2835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>Акт приемки объекта в эксплуатацию</w:t>
            </w:r>
          </w:p>
        </w:tc>
        <w:tc>
          <w:tcPr>
            <w:tcW w:w="1418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  <w:r w:rsidRPr="00E94706">
              <w:rPr>
                <w:sz w:val="22"/>
                <w:szCs w:val="22"/>
              </w:rPr>
              <w:t>√</w:t>
            </w:r>
          </w:p>
        </w:tc>
        <w:tc>
          <w:tcPr>
            <w:tcW w:w="1335" w:type="dxa"/>
            <w:vAlign w:val="center"/>
          </w:tcPr>
          <w:p w:rsidR="00DF6E0D" w:rsidRPr="00E94706" w:rsidRDefault="00DF6E0D" w:rsidP="007A5B59">
            <w:pPr>
              <w:jc w:val="center"/>
              <w:rPr>
                <w:rStyle w:val="s0"/>
                <w:sz w:val="22"/>
                <w:szCs w:val="22"/>
              </w:rPr>
            </w:pPr>
          </w:p>
        </w:tc>
        <w:tc>
          <w:tcPr>
            <w:tcW w:w="9580" w:type="dxa"/>
          </w:tcPr>
          <w:p w:rsidR="00DF6E0D" w:rsidRPr="00E94706" w:rsidRDefault="00DF6E0D" w:rsidP="007A5B59">
            <w:pPr>
              <w:jc w:val="both"/>
              <w:rPr>
                <w:rStyle w:val="s0"/>
                <w:sz w:val="22"/>
                <w:szCs w:val="22"/>
              </w:rPr>
            </w:pPr>
            <w:r w:rsidRPr="00E94706">
              <w:rPr>
                <w:rStyle w:val="s0"/>
                <w:sz w:val="22"/>
                <w:szCs w:val="22"/>
              </w:rPr>
              <w:t xml:space="preserve">Заказчик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надзоры, обязан проверить исполнительную техническую документацию на предмет наличия и комплектности, осмотреть и </w:t>
            </w:r>
            <w:r w:rsidRPr="00E94706">
              <w:rPr>
                <w:rStyle w:val="s0"/>
                <w:i/>
                <w:sz w:val="22"/>
                <w:szCs w:val="22"/>
                <w:u w:val="single"/>
              </w:rPr>
              <w:t>принять объект в эксплуатацию по соответствующему акту</w:t>
            </w:r>
          </w:p>
        </w:tc>
      </w:tr>
    </w:tbl>
    <w:p w:rsidR="00DF6E0D" w:rsidRPr="00731F9A" w:rsidRDefault="00DF6E0D" w:rsidP="00DF6E0D">
      <w:pPr>
        <w:pStyle w:val="af4"/>
        <w:rPr>
          <w:rFonts w:cs="Times New Roman"/>
        </w:rPr>
      </w:pPr>
    </w:p>
    <w:p w:rsidR="003D0E8F" w:rsidRDefault="003D0E8F" w:rsidP="000B2D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F6E0D" w:rsidRDefault="00DF6E0D" w:rsidP="000B2D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F6E0D" w:rsidRDefault="00DF6E0D" w:rsidP="000B2D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sectPr w:rsidR="00DF6E0D" w:rsidSect="008D63F2">
      <w:footerReference w:type="even" r:id="rId8"/>
      <w:footerReference w:type="default" r:id="rId9"/>
      <w:pgSz w:w="16838" w:h="11906" w:orient="landscape" w:code="9"/>
      <w:pgMar w:top="851" w:right="567" w:bottom="567" w:left="56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473" w:rsidRDefault="00943473">
      <w:pPr>
        <w:spacing w:after="0" w:line="240" w:lineRule="auto"/>
      </w:pPr>
      <w:r>
        <w:separator/>
      </w:r>
    </w:p>
  </w:endnote>
  <w:endnote w:type="continuationSeparator" w:id="0">
    <w:p w:rsidR="00943473" w:rsidRDefault="0094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0A" w:rsidRDefault="00DA58CA" w:rsidP="008D63F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E040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040A" w:rsidRDefault="004E040A" w:rsidP="008D63F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0A" w:rsidRDefault="00DA58CA" w:rsidP="008D63F2">
    <w:pPr>
      <w:pStyle w:val="a7"/>
      <w:framePr w:wrap="around" w:vAnchor="text" w:hAnchor="margin" w:xAlign="right" w:y="48"/>
      <w:rPr>
        <w:rStyle w:val="a9"/>
      </w:rPr>
    </w:pPr>
    <w:r>
      <w:rPr>
        <w:rStyle w:val="a9"/>
      </w:rPr>
      <w:fldChar w:fldCharType="begin"/>
    </w:r>
    <w:r w:rsidR="004E040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294D">
      <w:rPr>
        <w:rStyle w:val="a9"/>
        <w:noProof/>
      </w:rPr>
      <w:t>1</w:t>
    </w:r>
    <w:r>
      <w:rPr>
        <w:rStyle w:val="a9"/>
      </w:rPr>
      <w:fldChar w:fldCharType="end"/>
    </w:r>
  </w:p>
  <w:p w:rsidR="004E040A" w:rsidRDefault="004E040A" w:rsidP="008D63F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473" w:rsidRDefault="00943473">
      <w:pPr>
        <w:spacing w:after="0" w:line="240" w:lineRule="auto"/>
      </w:pPr>
      <w:r>
        <w:separator/>
      </w:r>
    </w:p>
  </w:footnote>
  <w:footnote w:type="continuationSeparator" w:id="0">
    <w:p w:rsidR="00943473" w:rsidRDefault="0094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9FB"/>
    <w:multiLevelType w:val="hybridMultilevel"/>
    <w:tmpl w:val="A5C4BCE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4162"/>
    <w:multiLevelType w:val="multilevel"/>
    <w:tmpl w:val="161EE078"/>
    <w:lvl w:ilvl="0">
      <w:start w:val="16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466514"/>
    <w:multiLevelType w:val="hybridMultilevel"/>
    <w:tmpl w:val="D1FAFC42"/>
    <w:lvl w:ilvl="0" w:tplc="F000DF58">
      <w:start w:val="1"/>
      <w:numFmt w:val="decimal"/>
      <w:lvlText w:val="%1)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1C2CAC"/>
    <w:multiLevelType w:val="hybridMultilevel"/>
    <w:tmpl w:val="057492A2"/>
    <w:lvl w:ilvl="0" w:tplc="B9AA1FEC">
      <w:start w:val="1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0FC81DB2"/>
    <w:multiLevelType w:val="multilevel"/>
    <w:tmpl w:val="C15ECB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1080744"/>
    <w:multiLevelType w:val="hybridMultilevel"/>
    <w:tmpl w:val="6878413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668A7"/>
    <w:multiLevelType w:val="hybridMultilevel"/>
    <w:tmpl w:val="35C8C4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0C1D11"/>
    <w:multiLevelType w:val="multilevel"/>
    <w:tmpl w:val="96C6A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9B13A9"/>
    <w:multiLevelType w:val="hybridMultilevel"/>
    <w:tmpl w:val="841A5C54"/>
    <w:lvl w:ilvl="0" w:tplc="975C43DC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F913AC"/>
    <w:multiLevelType w:val="hybridMultilevel"/>
    <w:tmpl w:val="5A36676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47A3"/>
    <w:multiLevelType w:val="multilevel"/>
    <w:tmpl w:val="D9C27F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792F27"/>
    <w:multiLevelType w:val="multilevel"/>
    <w:tmpl w:val="22E8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29EC7191"/>
    <w:multiLevelType w:val="multilevel"/>
    <w:tmpl w:val="142E7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EBB70F9"/>
    <w:multiLevelType w:val="hybridMultilevel"/>
    <w:tmpl w:val="E7C86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0B060D"/>
    <w:multiLevelType w:val="hybridMultilevel"/>
    <w:tmpl w:val="5F8ACC56"/>
    <w:lvl w:ilvl="0" w:tplc="0419000F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094E07"/>
    <w:multiLevelType w:val="multilevel"/>
    <w:tmpl w:val="774E6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3E23594"/>
    <w:multiLevelType w:val="multilevel"/>
    <w:tmpl w:val="7738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87673"/>
    <w:multiLevelType w:val="hybridMultilevel"/>
    <w:tmpl w:val="E54AD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B012E8"/>
    <w:multiLevelType w:val="multilevel"/>
    <w:tmpl w:val="9DBE33B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3ECC5166"/>
    <w:multiLevelType w:val="hybridMultilevel"/>
    <w:tmpl w:val="D62602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A03"/>
    <w:multiLevelType w:val="hybridMultilevel"/>
    <w:tmpl w:val="6B749CE0"/>
    <w:lvl w:ilvl="0" w:tplc="9C3421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D04656"/>
    <w:multiLevelType w:val="hybridMultilevel"/>
    <w:tmpl w:val="A8ECECC8"/>
    <w:lvl w:ilvl="0" w:tplc="1C0AF5F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1E614D"/>
    <w:multiLevelType w:val="multilevel"/>
    <w:tmpl w:val="EFBEE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0E172E"/>
    <w:multiLevelType w:val="hybridMultilevel"/>
    <w:tmpl w:val="0DFCC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73276"/>
    <w:multiLevelType w:val="multilevel"/>
    <w:tmpl w:val="9B8A92F8"/>
    <w:lvl w:ilvl="0">
      <w:start w:val="4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none"/>
      <w:lvlText w:val="5.11.1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C2B45A8"/>
    <w:multiLevelType w:val="multilevel"/>
    <w:tmpl w:val="E676BA02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DDF2A8E"/>
    <w:multiLevelType w:val="multilevel"/>
    <w:tmpl w:val="6810B57C"/>
    <w:lvl w:ilvl="0">
      <w:start w:val="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DE176AA"/>
    <w:multiLevelType w:val="multilevel"/>
    <w:tmpl w:val="8940D5C8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4" w:hanging="930"/>
      </w:pPr>
      <w:rPr>
        <w:rFonts w:hint="default"/>
        <w:color w:val="000000"/>
      </w:rPr>
    </w:lvl>
    <w:lvl w:ilvl="2">
      <w:start w:val="6"/>
      <w:numFmt w:val="decimal"/>
      <w:isLgl/>
      <w:lvlText w:val="%1.%2.%3."/>
      <w:lvlJc w:val="left"/>
      <w:pPr>
        <w:ind w:left="1574" w:hanging="93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4" w:hanging="93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  <w:color w:val="000000"/>
      </w:rPr>
    </w:lvl>
  </w:abstractNum>
  <w:abstractNum w:abstractNumId="28" w15:restartNumberingAfterBreak="0">
    <w:nsid w:val="4E333598"/>
    <w:multiLevelType w:val="multilevel"/>
    <w:tmpl w:val="8B803E0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9" w15:restartNumberingAfterBreak="0">
    <w:nsid w:val="57E81CAD"/>
    <w:multiLevelType w:val="hybridMultilevel"/>
    <w:tmpl w:val="11F6506C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1D7087"/>
    <w:multiLevelType w:val="multilevel"/>
    <w:tmpl w:val="6FB87E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574" w:hanging="930"/>
      </w:pPr>
      <w:rPr>
        <w:rFonts w:hint="default"/>
        <w:color w:val="000000"/>
      </w:rPr>
    </w:lvl>
    <w:lvl w:ilvl="2">
      <w:start w:val="6"/>
      <w:numFmt w:val="decimal"/>
      <w:isLgl/>
      <w:lvlText w:val="%1.%2.%3."/>
      <w:lvlJc w:val="left"/>
      <w:pPr>
        <w:ind w:left="1574" w:hanging="93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4" w:hanging="93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  <w:color w:val="000000"/>
      </w:rPr>
    </w:lvl>
  </w:abstractNum>
  <w:abstractNum w:abstractNumId="31" w15:restartNumberingAfterBreak="0">
    <w:nsid w:val="595739DB"/>
    <w:multiLevelType w:val="multilevel"/>
    <w:tmpl w:val="7E0C1982"/>
    <w:lvl w:ilvl="0">
      <w:start w:val="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9E2006C"/>
    <w:multiLevelType w:val="hybridMultilevel"/>
    <w:tmpl w:val="8820A7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F32D3"/>
    <w:multiLevelType w:val="hybridMultilevel"/>
    <w:tmpl w:val="1B54E8C8"/>
    <w:lvl w:ilvl="0" w:tplc="3A40F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9C6F6F"/>
    <w:multiLevelType w:val="multilevel"/>
    <w:tmpl w:val="2B8E4FE0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5.19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5.11.1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67CC5B2F"/>
    <w:multiLevelType w:val="multilevel"/>
    <w:tmpl w:val="C15ECB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A417C7E"/>
    <w:multiLevelType w:val="hybridMultilevel"/>
    <w:tmpl w:val="7A9C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533A6"/>
    <w:multiLevelType w:val="multilevel"/>
    <w:tmpl w:val="55A64C66"/>
    <w:lvl w:ilvl="0">
      <w:start w:val="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2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C0966FF"/>
    <w:multiLevelType w:val="hybridMultilevel"/>
    <w:tmpl w:val="197036C4"/>
    <w:lvl w:ilvl="0" w:tplc="541ACBAA">
      <w:start w:val="9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2C58BE"/>
    <w:multiLevelType w:val="hybridMultilevel"/>
    <w:tmpl w:val="7D2A4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C01CF"/>
    <w:multiLevelType w:val="hybridMultilevel"/>
    <w:tmpl w:val="B8AE83D0"/>
    <w:lvl w:ilvl="0" w:tplc="651C7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04205"/>
    <w:multiLevelType w:val="hybridMultilevel"/>
    <w:tmpl w:val="B2F054E6"/>
    <w:lvl w:ilvl="0" w:tplc="A8B485C8">
      <w:start w:val="12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2" w15:restartNumberingAfterBreak="0">
    <w:nsid w:val="793B1856"/>
    <w:multiLevelType w:val="multilevel"/>
    <w:tmpl w:val="C8AE53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1440"/>
        </w:tabs>
        <w:ind w:left="-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2520"/>
        </w:tabs>
        <w:ind w:left="-25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240"/>
        </w:tabs>
        <w:ind w:left="-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0"/>
        </w:tabs>
        <w:ind w:left="-3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320"/>
        </w:tabs>
        <w:ind w:left="-4320" w:hanging="1440"/>
      </w:pPr>
      <w:rPr>
        <w:rFonts w:cs="Times New Roman" w:hint="default"/>
      </w:rPr>
    </w:lvl>
  </w:abstractNum>
  <w:abstractNum w:abstractNumId="43" w15:restartNumberingAfterBreak="0">
    <w:nsid w:val="7E2E089C"/>
    <w:multiLevelType w:val="multilevel"/>
    <w:tmpl w:val="3B5EF3E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44" w15:restartNumberingAfterBreak="0">
    <w:nsid w:val="7E47395A"/>
    <w:multiLevelType w:val="multilevel"/>
    <w:tmpl w:val="3EDCFB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45"/>
  </w:num>
  <w:num w:numId="3">
    <w:abstractNumId w:val="34"/>
  </w:num>
  <w:num w:numId="4">
    <w:abstractNumId w:val="24"/>
  </w:num>
  <w:num w:numId="5">
    <w:abstractNumId w:val="42"/>
  </w:num>
  <w:num w:numId="6">
    <w:abstractNumId w:val="21"/>
  </w:num>
  <w:num w:numId="7">
    <w:abstractNumId w:val="18"/>
  </w:num>
  <w:num w:numId="8">
    <w:abstractNumId w:val="17"/>
  </w:num>
  <w:num w:numId="9">
    <w:abstractNumId w:val="13"/>
  </w:num>
  <w:num w:numId="10">
    <w:abstractNumId w:val="1"/>
  </w:num>
  <w:num w:numId="11">
    <w:abstractNumId w:val="25"/>
  </w:num>
  <w:num w:numId="12">
    <w:abstractNumId w:val="26"/>
  </w:num>
  <w:num w:numId="13">
    <w:abstractNumId w:val="31"/>
  </w:num>
  <w:num w:numId="14">
    <w:abstractNumId w:val="37"/>
  </w:num>
  <w:num w:numId="15">
    <w:abstractNumId w:val="29"/>
  </w:num>
  <w:num w:numId="16">
    <w:abstractNumId w:val="14"/>
  </w:num>
  <w:num w:numId="17">
    <w:abstractNumId w:val="33"/>
  </w:num>
  <w:num w:numId="18">
    <w:abstractNumId w:val="20"/>
  </w:num>
  <w:num w:numId="19">
    <w:abstractNumId w:val="38"/>
  </w:num>
  <w:num w:numId="20">
    <w:abstractNumId w:val="0"/>
  </w:num>
  <w:num w:numId="21">
    <w:abstractNumId w:val="32"/>
  </w:num>
  <w:num w:numId="22">
    <w:abstractNumId w:val="3"/>
  </w:num>
  <w:num w:numId="23">
    <w:abstractNumId w:val="41"/>
  </w:num>
  <w:num w:numId="24">
    <w:abstractNumId w:val="19"/>
  </w:num>
  <w:num w:numId="25">
    <w:abstractNumId w:val="9"/>
  </w:num>
  <w:num w:numId="26">
    <w:abstractNumId w:val="12"/>
  </w:num>
  <w:num w:numId="27">
    <w:abstractNumId w:val="16"/>
  </w:num>
  <w:num w:numId="28">
    <w:abstractNumId w:val="5"/>
  </w:num>
  <w:num w:numId="29">
    <w:abstractNumId w:val="7"/>
  </w:num>
  <w:num w:numId="30">
    <w:abstractNumId w:val="22"/>
  </w:num>
  <w:num w:numId="31">
    <w:abstractNumId w:val="10"/>
  </w:num>
  <w:num w:numId="32">
    <w:abstractNumId w:val="15"/>
  </w:num>
  <w:num w:numId="33">
    <w:abstractNumId w:val="4"/>
  </w:num>
  <w:num w:numId="34">
    <w:abstractNumId w:val="35"/>
  </w:num>
  <w:num w:numId="35">
    <w:abstractNumId w:val="44"/>
  </w:num>
  <w:num w:numId="36">
    <w:abstractNumId w:val="6"/>
  </w:num>
  <w:num w:numId="37">
    <w:abstractNumId w:val="2"/>
  </w:num>
  <w:num w:numId="38">
    <w:abstractNumId w:val="11"/>
  </w:num>
  <w:num w:numId="39">
    <w:abstractNumId w:val="40"/>
  </w:num>
  <w:num w:numId="40">
    <w:abstractNumId w:val="28"/>
  </w:num>
  <w:num w:numId="41">
    <w:abstractNumId w:val="27"/>
  </w:num>
  <w:num w:numId="42">
    <w:abstractNumId w:val="30"/>
  </w:num>
  <w:num w:numId="43">
    <w:abstractNumId w:val="43"/>
  </w:num>
  <w:num w:numId="44">
    <w:abstractNumId w:val="23"/>
  </w:num>
  <w:num w:numId="45">
    <w:abstractNumId w:val="3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D7"/>
    <w:rsid w:val="0000106B"/>
    <w:rsid w:val="00017DE6"/>
    <w:rsid w:val="00020CD9"/>
    <w:rsid w:val="00030AA0"/>
    <w:rsid w:val="000335CF"/>
    <w:rsid w:val="00034AE9"/>
    <w:rsid w:val="000441E1"/>
    <w:rsid w:val="000446A4"/>
    <w:rsid w:val="000508E7"/>
    <w:rsid w:val="00055031"/>
    <w:rsid w:val="00055842"/>
    <w:rsid w:val="00067B90"/>
    <w:rsid w:val="0007137C"/>
    <w:rsid w:val="000808C8"/>
    <w:rsid w:val="0008435D"/>
    <w:rsid w:val="00084CF5"/>
    <w:rsid w:val="00093F29"/>
    <w:rsid w:val="00095957"/>
    <w:rsid w:val="000B2D37"/>
    <w:rsid w:val="000B75C6"/>
    <w:rsid w:val="000C2790"/>
    <w:rsid w:val="000C69D7"/>
    <w:rsid w:val="000D02EA"/>
    <w:rsid w:val="000D50FA"/>
    <w:rsid w:val="000E07E4"/>
    <w:rsid w:val="0010449C"/>
    <w:rsid w:val="00105D7E"/>
    <w:rsid w:val="00131A1D"/>
    <w:rsid w:val="001375CB"/>
    <w:rsid w:val="0014383C"/>
    <w:rsid w:val="00143A6C"/>
    <w:rsid w:val="0014437C"/>
    <w:rsid w:val="00151BC2"/>
    <w:rsid w:val="00153B3B"/>
    <w:rsid w:val="00162D6A"/>
    <w:rsid w:val="001732D0"/>
    <w:rsid w:val="00186253"/>
    <w:rsid w:val="00190872"/>
    <w:rsid w:val="00192B3C"/>
    <w:rsid w:val="001957EA"/>
    <w:rsid w:val="001961B2"/>
    <w:rsid w:val="001A42B2"/>
    <w:rsid w:val="001A46DF"/>
    <w:rsid w:val="001A7665"/>
    <w:rsid w:val="001B0312"/>
    <w:rsid w:val="001B5B0B"/>
    <w:rsid w:val="001C0282"/>
    <w:rsid w:val="001C707D"/>
    <w:rsid w:val="001C79A5"/>
    <w:rsid w:val="001C7B7E"/>
    <w:rsid w:val="001D5880"/>
    <w:rsid w:val="001E55E9"/>
    <w:rsid w:val="001E57B2"/>
    <w:rsid w:val="001E5CDF"/>
    <w:rsid w:val="001F136D"/>
    <w:rsid w:val="00200DD1"/>
    <w:rsid w:val="00212DB9"/>
    <w:rsid w:val="00214F77"/>
    <w:rsid w:val="00224057"/>
    <w:rsid w:val="00230F14"/>
    <w:rsid w:val="00233DEE"/>
    <w:rsid w:val="00234D54"/>
    <w:rsid w:val="00246B32"/>
    <w:rsid w:val="002472A9"/>
    <w:rsid w:val="002644FF"/>
    <w:rsid w:val="00266E90"/>
    <w:rsid w:val="00272274"/>
    <w:rsid w:val="00275788"/>
    <w:rsid w:val="002759D6"/>
    <w:rsid w:val="0028008F"/>
    <w:rsid w:val="00283837"/>
    <w:rsid w:val="00285022"/>
    <w:rsid w:val="00294562"/>
    <w:rsid w:val="002A0D69"/>
    <w:rsid w:val="002A4EE1"/>
    <w:rsid w:val="002B2A03"/>
    <w:rsid w:val="002B6BB3"/>
    <w:rsid w:val="002C18F5"/>
    <w:rsid w:val="002C742E"/>
    <w:rsid w:val="002C7648"/>
    <w:rsid w:val="002D5329"/>
    <w:rsid w:val="002E08FB"/>
    <w:rsid w:val="002E4D65"/>
    <w:rsid w:val="002F09A4"/>
    <w:rsid w:val="002F0D4A"/>
    <w:rsid w:val="002F7F66"/>
    <w:rsid w:val="00301FC1"/>
    <w:rsid w:val="00304187"/>
    <w:rsid w:val="00315DF5"/>
    <w:rsid w:val="0031617E"/>
    <w:rsid w:val="00324BCA"/>
    <w:rsid w:val="00325BD7"/>
    <w:rsid w:val="003305CC"/>
    <w:rsid w:val="00330842"/>
    <w:rsid w:val="003424D1"/>
    <w:rsid w:val="003447F0"/>
    <w:rsid w:val="003527AF"/>
    <w:rsid w:val="003542EA"/>
    <w:rsid w:val="003553AC"/>
    <w:rsid w:val="00357ED5"/>
    <w:rsid w:val="00373B83"/>
    <w:rsid w:val="00377E62"/>
    <w:rsid w:val="003901D2"/>
    <w:rsid w:val="003B7A3F"/>
    <w:rsid w:val="003D0E8F"/>
    <w:rsid w:val="003E1579"/>
    <w:rsid w:val="003E2F62"/>
    <w:rsid w:val="003E30F4"/>
    <w:rsid w:val="003E4B51"/>
    <w:rsid w:val="003F02D7"/>
    <w:rsid w:val="003F311B"/>
    <w:rsid w:val="003F7664"/>
    <w:rsid w:val="00400BEA"/>
    <w:rsid w:val="004036FE"/>
    <w:rsid w:val="00417412"/>
    <w:rsid w:val="0042207D"/>
    <w:rsid w:val="00431039"/>
    <w:rsid w:val="0043159E"/>
    <w:rsid w:val="00432CC0"/>
    <w:rsid w:val="0044409B"/>
    <w:rsid w:val="00450D5A"/>
    <w:rsid w:val="004516B0"/>
    <w:rsid w:val="004530A3"/>
    <w:rsid w:val="00480081"/>
    <w:rsid w:val="00491564"/>
    <w:rsid w:val="004A0088"/>
    <w:rsid w:val="004A64C0"/>
    <w:rsid w:val="004B1DBC"/>
    <w:rsid w:val="004B5B1F"/>
    <w:rsid w:val="004C7EBC"/>
    <w:rsid w:val="004D08F4"/>
    <w:rsid w:val="004D3A67"/>
    <w:rsid w:val="004D3D15"/>
    <w:rsid w:val="004D632F"/>
    <w:rsid w:val="004E040A"/>
    <w:rsid w:val="004E3599"/>
    <w:rsid w:val="004E3BB3"/>
    <w:rsid w:val="004E6B45"/>
    <w:rsid w:val="004F75EE"/>
    <w:rsid w:val="005004AB"/>
    <w:rsid w:val="0050186F"/>
    <w:rsid w:val="00504923"/>
    <w:rsid w:val="00510AAE"/>
    <w:rsid w:val="00511274"/>
    <w:rsid w:val="00515224"/>
    <w:rsid w:val="005170B8"/>
    <w:rsid w:val="005244C0"/>
    <w:rsid w:val="00524F8D"/>
    <w:rsid w:val="00531E58"/>
    <w:rsid w:val="005421CF"/>
    <w:rsid w:val="00547291"/>
    <w:rsid w:val="00550C36"/>
    <w:rsid w:val="005519AD"/>
    <w:rsid w:val="0055337A"/>
    <w:rsid w:val="005604D6"/>
    <w:rsid w:val="00565B84"/>
    <w:rsid w:val="00571BA7"/>
    <w:rsid w:val="005747AF"/>
    <w:rsid w:val="00574F69"/>
    <w:rsid w:val="005760A3"/>
    <w:rsid w:val="00582C00"/>
    <w:rsid w:val="00586BD8"/>
    <w:rsid w:val="00592361"/>
    <w:rsid w:val="005A2864"/>
    <w:rsid w:val="005C47F7"/>
    <w:rsid w:val="005C572C"/>
    <w:rsid w:val="005F0F80"/>
    <w:rsid w:val="005F250E"/>
    <w:rsid w:val="005F34B6"/>
    <w:rsid w:val="005F6F3F"/>
    <w:rsid w:val="005F7DDB"/>
    <w:rsid w:val="00600BE0"/>
    <w:rsid w:val="006212AC"/>
    <w:rsid w:val="00623F58"/>
    <w:rsid w:val="00625DE0"/>
    <w:rsid w:val="00627369"/>
    <w:rsid w:val="00627ED5"/>
    <w:rsid w:val="00631D46"/>
    <w:rsid w:val="0063442D"/>
    <w:rsid w:val="00641394"/>
    <w:rsid w:val="006446F5"/>
    <w:rsid w:val="00645A95"/>
    <w:rsid w:val="00652CA4"/>
    <w:rsid w:val="00652E18"/>
    <w:rsid w:val="00664FB9"/>
    <w:rsid w:val="00673B55"/>
    <w:rsid w:val="00675BBA"/>
    <w:rsid w:val="006838AA"/>
    <w:rsid w:val="0068463A"/>
    <w:rsid w:val="00692A47"/>
    <w:rsid w:val="0069474A"/>
    <w:rsid w:val="006A4B2B"/>
    <w:rsid w:val="006C0A25"/>
    <w:rsid w:val="006D073F"/>
    <w:rsid w:val="006D2FE4"/>
    <w:rsid w:val="006D371E"/>
    <w:rsid w:val="006E42A1"/>
    <w:rsid w:val="006E5F84"/>
    <w:rsid w:val="006F3F53"/>
    <w:rsid w:val="006F4B5E"/>
    <w:rsid w:val="0070106E"/>
    <w:rsid w:val="0070175A"/>
    <w:rsid w:val="00702EEC"/>
    <w:rsid w:val="00712B7E"/>
    <w:rsid w:val="00723CDA"/>
    <w:rsid w:val="00730AF4"/>
    <w:rsid w:val="0073277B"/>
    <w:rsid w:val="0073526F"/>
    <w:rsid w:val="007406B4"/>
    <w:rsid w:val="00741F6F"/>
    <w:rsid w:val="00742039"/>
    <w:rsid w:val="00743966"/>
    <w:rsid w:val="00744AF6"/>
    <w:rsid w:val="00745A1E"/>
    <w:rsid w:val="0074608E"/>
    <w:rsid w:val="007502B7"/>
    <w:rsid w:val="00753EE9"/>
    <w:rsid w:val="007601C2"/>
    <w:rsid w:val="00760465"/>
    <w:rsid w:val="00763A1B"/>
    <w:rsid w:val="00767388"/>
    <w:rsid w:val="007673E7"/>
    <w:rsid w:val="00767A7B"/>
    <w:rsid w:val="00770AD5"/>
    <w:rsid w:val="00772D58"/>
    <w:rsid w:val="00781DEC"/>
    <w:rsid w:val="00782F8C"/>
    <w:rsid w:val="0078660C"/>
    <w:rsid w:val="007973C6"/>
    <w:rsid w:val="007A5B59"/>
    <w:rsid w:val="007A7C61"/>
    <w:rsid w:val="007B211C"/>
    <w:rsid w:val="007B679A"/>
    <w:rsid w:val="007C1CA9"/>
    <w:rsid w:val="007C4B1B"/>
    <w:rsid w:val="007D1159"/>
    <w:rsid w:val="007D2621"/>
    <w:rsid w:val="007D2E0A"/>
    <w:rsid w:val="007D59EB"/>
    <w:rsid w:val="007D5DB4"/>
    <w:rsid w:val="007D74EA"/>
    <w:rsid w:val="007D75C1"/>
    <w:rsid w:val="007E03A9"/>
    <w:rsid w:val="007E2170"/>
    <w:rsid w:val="007E3EC6"/>
    <w:rsid w:val="007F5DBC"/>
    <w:rsid w:val="0083257E"/>
    <w:rsid w:val="00841B6B"/>
    <w:rsid w:val="0085146F"/>
    <w:rsid w:val="00851B51"/>
    <w:rsid w:val="00856CA8"/>
    <w:rsid w:val="00865541"/>
    <w:rsid w:val="008669F5"/>
    <w:rsid w:val="00877AAF"/>
    <w:rsid w:val="0088032B"/>
    <w:rsid w:val="00887A17"/>
    <w:rsid w:val="0089006C"/>
    <w:rsid w:val="00893669"/>
    <w:rsid w:val="00897107"/>
    <w:rsid w:val="008A33DF"/>
    <w:rsid w:val="008A7D32"/>
    <w:rsid w:val="008B033E"/>
    <w:rsid w:val="008C3015"/>
    <w:rsid w:val="008D2D92"/>
    <w:rsid w:val="008D3010"/>
    <w:rsid w:val="008D63F2"/>
    <w:rsid w:val="008F2EC2"/>
    <w:rsid w:val="008F3769"/>
    <w:rsid w:val="008F58DA"/>
    <w:rsid w:val="008F664C"/>
    <w:rsid w:val="0090012F"/>
    <w:rsid w:val="009027E5"/>
    <w:rsid w:val="00904063"/>
    <w:rsid w:val="0091188D"/>
    <w:rsid w:val="009169CE"/>
    <w:rsid w:val="00917DFB"/>
    <w:rsid w:val="00926038"/>
    <w:rsid w:val="009334E1"/>
    <w:rsid w:val="00934ABE"/>
    <w:rsid w:val="009376AD"/>
    <w:rsid w:val="00937782"/>
    <w:rsid w:val="00942B11"/>
    <w:rsid w:val="00943473"/>
    <w:rsid w:val="00957C82"/>
    <w:rsid w:val="0096123B"/>
    <w:rsid w:val="00962627"/>
    <w:rsid w:val="009656AF"/>
    <w:rsid w:val="0096685A"/>
    <w:rsid w:val="0096747C"/>
    <w:rsid w:val="00970742"/>
    <w:rsid w:val="00973C51"/>
    <w:rsid w:val="00975108"/>
    <w:rsid w:val="00980973"/>
    <w:rsid w:val="00994AA4"/>
    <w:rsid w:val="009A0C81"/>
    <w:rsid w:val="009A546F"/>
    <w:rsid w:val="009A67D1"/>
    <w:rsid w:val="009B0229"/>
    <w:rsid w:val="009B7B4F"/>
    <w:rsid w:val="009D10B9"/>
    <w:rsid w:val="009E4BEF"/>
    <w:rsid w:val="009E5352"/>
    <w:rsid w:val="009F2EF0"/>
    <w:rsid w:val="009F6835"/>
    <w:rsid w:val="00A04084"/>
    <w:rsid w:val="00A06CF6"/>
    <w:rsid w:val="00A06D6D"/>
    <w:rsid w:val="00A13F4A"/>
    <w:rsid w:val="00A149A5"/>
    <w:rsid w:val="00A219D5"/>
    <w:rsid w:val="00A236CA"/>
    <w:rsid w:val="00A241A0"/>
    <w:rsid w:val="00A27411"/>
    <w:rsid w:val="00A31AA5"/>
    <w:rsid w:val="00A514B6"/>
    <w:rsid w:val="00A5666A"/>
    <w:rsid w:val="00A610DC"/>
    <w:rsid w:val="00A65577"/>
    <w:rsid w:val="00A831E6"/>
    <w:rsid w:val="00A850E9"/>
    <w:rsid w:val="00A911F0"/>
    <w:rsid w:val="00A934E0"/>
    <w:rsid w:val="00AA2E5C"/>
    <w:rsid w:val="00AA48FA"/>
    <w:rsid w:val="00AB0F4C"/>
    <w:rsid w:val="00AB6030"/>
    <w:rsid w:val="00AC0111"/>
    <w:rsid w:val="00AD5631"/>
    <w:rsid w:val="00AE01BF"/>
    <w:rsid w:val="00AE30A4"/>
    <w:rsid w:val="00AE5EE3"/>
    <w:rsid w:val="00AE62CD"/>
    <w:rsid w:val="00AF4C62"/>
    <w:rsid w:val="00AF7856"/>
    <w:rsid w:val="00B014E0"/>
    <w:rsid w:val="00B015C9"/>
    <w:rsid w:val="00B15D8A"/>
    <w:rsid w:val="00B217D2"/>
    <w:rsid w:val="00B23507"/>
    <w:rsid w:val="00B24BD8"/>
    <w:rsid w:val="00B2576D"/>
    <w:rsid w:val="00B26FEA"/>
    <w:rsid w:val="00B27600"/>
    <w:rsid w:val="00B31F76"/>
    <w:rsid w:val="00B37D38"/>
    <w:rsid w:val="00B4396C"/>
    <w:rsid w:val="00B4429C"/>
    <w:rsid w:val="00B46B42"/>
    <w:rsid w:val="00B51808"/>
    <w:rsid w:val="00B70F19"/>
    <w:rsid w:val="00B86E6C"/>
    <w:rsid w:val="00B9294D"/>
    <w:rsid w:val="00B93907"/>
    <w:rsid w:val="00BA208C"/>
    <w:rsid w:val="00BA66EF"/>
    <w:rsid w:val="00BB1097"/>
    <w:rsid w:val="00BB1664"/>
    <w:rsid w:val="00BB1DD0"/>
    <w:rsid w:val="00BB623F"/>
    <w:rsid w:val="00BC1E74"/>
    <w:rsid w:val="00BC34B5"/>
    <w:rsid w:val="00BD1A01"/>
    <w:rsid w:val="00BD5652"/>
    <w:rsid w:val="00BD5ABA"/>
    <w:rsid w:val="00BE334E"/>
    <w:rsid w:val="00BF4E4B"/>
    <w:rsid w:val="00C00D59"/>
    <w:rsid w:val="00C01B36"/>
    <w:rsid w:val="00C05CF2"/>
    <w:rsid w:val="00C06C9E"/>
    <w:rsid w:val="00C076A6"/>
    <w:rsid w:val="00C17BDE"/>
    <w:rsid w:val="00C2003D"/>
    <w:rsid w:val="00C30215"/>
    <w:rsid w:val="00C3437C"/>
    <w:rsid w:val="00C35F43"/>
    <w:rsid w:val="00C42742"/>
    <w:rsid w:val="00C519A6"/>
    <w:rsid w:val="00C61A9E"/>
    <w:rsid w:val="00C67E4C"/>
    <w:rsid w:val="00C7767D"/>
    <w:rsid w:val="00C77E8A"/>
    <w:rsid w:val="00C82302"/>
    <w:rsid w:val="00C93B46"/>
    <w:rsid w:val="00CA4B1B"/>
    <w:rsid w:val="00CA6494"/>
    <w:rsid w:val="00CB0062"/>
    <w:rsid w:val="00CB5C08"/>
    <w:rsid w:val="00CC03F0"/>
    <w:rsid w:val="00CC34B4"/>
    <w:rsid w:val="00CD00E1"/>
    <w:rsid w:val="00CD799E"/>
    <w:rsid w:val="00CD7F11"/>
    <w:rsid w:val="00CE34B6"/>
    <w:rsid w:val="00D05758"/>
    <w:rsid w:val="00D06533"/>
    <w:rsid w:val="00D1393E"/>
    <w:rsid w:val="00D15B0B"/>
    <w:rsid w:val="00D242B3"/>
    <w:rsid w:val="00D26DE7"/>
    <w:rsid w:val="00D3043D"/>
    <w:rsid w:val="00D3080D"/>
    <w:rsid w:val="00D3244F"/>
    <w:rsid w:val="00D3743D"/>
    <w:rsid w:val="00D47048"/>
    <w:rsid w:val="00D5249A"/>
    <w:rsid w:val="00D573A2"/>
    <w:rsid w:val="00D579D5"/>
    <w:rsid w:val="00D64685"/>
    <w:rsid w:val="00D8522F"/>
    <w:rsid w:val="00DA58CA"/>
    <w:rsid w:val="00DA711E"/>
    <w:rsid w:val="00DB148C"/>
    <w:rsid w:val="00DB7A41"/>
    <w:rsid w:val="00DC79E7"/>
    <w:rsid w:val="00DE6038"/>
    <w:rsid w:val="00DE7535"/>
    <w:rsid w:val="00DE77FE"/>
    <w:rsid w:val="00DF04AB"/>
    <w:rsid w:val="00DF3602"/>
    <w:rsid w:val="00DF6E0D"/>
    <w:rsid w:val="00E04F7E"/>
    <w:rsid w:val="00E07BA9"/>
    <w:rsid w:val="00E208F5"/>
    <w:rsid w:val="00E24B33"/>
    <w:rsid w:val="00E3213E"/>
    <w:rsid w:val="00E3218D"/>
    <w:rsid w:val="00E513FD"/>
    <w:rsid w:val="00E52B60"/>
    <w:rsid w:val="00E5360F"/>
    <w:rsid w:val="00E603F2"/>
    <w:rsid w:val="00E60B2B"/>
    <w:rsid w:val="00E60C7F"/>
    <w:rsid w:val="00E6462E"/>
    <w:rsid w:val="00E72189"/>
    <w:rsid w:val="00E75192"/>
    <w:rsid w:val="00E8477C"/>
    <w:rsid w:val="00E9013A"/>
    <w:rsid w:val="00E908B0"/>
    <w:rsid w:val="00E94706"/>
    <w:rsid w:val="00E96176"/>
    <w:rsid w:val="00EA569A"/>
    <w:rsid w:val="00EA60B3"/>
    <w:rsid w:val="00EA61E8"/>
    <w:rsid w:val="00EB1A1B"/>
    <w:rsid w:val="00EB3B7F"/>
    <w:rsid w:val="00EB71F7"/>
    <w:rsid w:val="00EC0888"/>
    <w:rsid w:val="00EC377F"/>
    <w:rsid w:val="00EC5A5F"/>
    <w:rsid w:val="00ED1A48"/>
    <w:rsid w:val="00EE2B90"/>
    <w:rsid w:val="00EF1380"/>
    <w:rsid w:val="00EF188E"/>
    <w:rsid w:val="00EF35DA"/>
    <w:rsid w:val="00EF5B14"/>
    <w:rsid w:val="00F03F17"/>
    <w:rsid w:val="00F124FB"/>
    <w:rsid w:val="00F14695"/>
    <w:rsid w:val="00F20FE4"/>
    <w:rsid w:val="00F27051"/>
    <w:rsid w:val="00F27563"/>
    <w:rsid w:val="00F31972"/>
    <w:rsid w:val="00F37500"/>
    <w:rsid w:val="00F37DA9"/>
    <w:rsid w:val="00F408AD"/>
    <w:rsid w:val="00F41004"/>
    <w:rsid w:val="00F45FC8"/>
    <w:rsid w:val="00F46B58"/>
    <w:rsid w:val="00F5102A"/>
    <w:rsid w:val="00F62EE6"/>
    <w:rsid w:val="00F734D8"/>
    <w:rsid w:val="00F774DC"/>
    <w:rsid w:val="00F93DA5"/>
    <w:rsid w:val="00FA3266"/>
    <w:rsid w:val="00FB1665"/>
    <w:rsid w:val="00FB25E6"/>
    <w:rsid w:val="00FB6859"/>
    <w:rsid w:val="00FC2274"/>
    <w:rsid w:val="00FE1017"/>
    <w:rsid w:val="00FE1C32"/>
    <w:rsid w:val="00FF1718"/>
    <w:rsid w:val="00FF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DA91A-5CE8-4C30-A04D-07765FB8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58DA"/>
  </w:style>
  <w:style w:type="paragraph" w:styleId="4">
    <w:name w:val="heading 4"/>
    <w:basedOn w:val="a0"/>
    <w:next w:val="a0"/>
    <w:link w:val="40"/>
    <w:uiPriority w:val="99"/>
    <w:qFormat/>
    <w:rsid w:val="000B2D3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0B2D3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0B2D37"/>
  </w:style>
  <w:style w:type="paragraph" w:styleId="a4">
    <w:name w:val="Normal (Web)"/>
    <w:basedOn w:val="a0"/>
    <w:link w:val="a5"/>
    <w:rsid w:val="000B2D37"/>
    <w:pPr>
      <w:spacing w:before="64" w:after="64" w:line="240" w:lineRule="auto"/>
      <w:ind w:firstLine="3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0B2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B2D37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2"/>
    <w:uiPriority w:val="59"/>
    <w:rsid w:val="000B2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link w:val="a8"/>
    <w:uiPriority w:val="99"/>
    <w:rsid w:val="000B2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0B2D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uiPriority w:val="99"/>
    <w:rsid w:val="000B2D37"/>
    <w:rPr>
      <w:rFonts w:cs="Times New Roman"/>
    </w:rPr>
  </w:style>
  <w:style w:type="paragraph" w:styleId="aa">
    <w:name w:val="Body Text"/>
    <w:basedOn w:val="a0"/>
    <w:link w:val="ab"/>
    <w:uiPriority w:val="99"/>
    <w:rsid w:val="000B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uiPriority w:val="99"/>
    <w:rsid w:val="000B2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rsid w:val="000B2D3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d">
    <w:name w:val="Текст выноски Знак"/>
    <w:basedOn w:val="a1"/>
    <w:link w:val="ac"/>
    <w:uiPriority w:val="99"/>
    <w:semiHidden/>
    <w:rsid w:val="000B2D37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s1">
    <w:name w:val="s1"/>
    <w:uiPriority w:val="99"/>
    <w:rsid w:val="000B2D37"/>
    <w:rPr>
      <w:rFonts w:ascii="Times New Roman" w:hAnsi="Times New Roman"/>
      <w:b/>
      <w:color w:val="000000"/>
      <w:sz w:val="24"/>
      <w:u w:val="none"/>
      <w:effect w:val="none"/>
    </w:rPr>
  </w:style>
  <w:style w:type="character" w:styleId="ae">
    <w:name w:val="Hyperlink"/>
    <w:basedOn w:val="a1"/>
    <w:uiPriority w:val="99"/>
    <w:rsid w:val="000B2D37"/>
    <w:rPr>
      <w:rFonts w:cs="Times New Roman"/>
      <w:color w:val="0000FF"/>
      <w:u w:val="single"/>
    </w:rPr>
  </w:style>
  <w:style w:type="paragraph" w:styleId="af">
    <w:name w:val="Body Text Indent"/>
    <w:aliases w:val="Знак, Знак"/>
    <w:basedOn w:val="a0"/>
    <w:link w:val="af0"/>
    <w:uiPriority w:val="99"/>
    <w:rsid w:val="000B2D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aliases w:val="Знак Знак, Знак Знак"/>
    <w:basedOn w:val="a1"/>
    <w:link w:val="af"/>
    <w:uiPriority w:val="99"/>
    <w:rsid w:val="000B2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rsid w:val="000B2D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uiPriority w:val="99"/>
    <w:rsid w:val="000B2D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uiPriority w:val="99"/>
    <w:rsid w:val="000B2D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rsid w:val="000B2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татья"/>
    <w:basedOn w:val="a0"/>
    <w:uiPriority w:val="99"/>
    <w:rsid w:val="000B2D37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List Paragraph"/>
    <w:basedOn w:val="a0"/>
    <w:uiPriority w:val="34"/>
    <w:qFormat/>
    <w:rsid w:val="000B2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0"/>
    <w:link w:val="af3"/>
    <w:uiPriority w:val="99"/>
    <w:rsid w:val="000B2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0B2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0B2D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customStyle="1" w:styleId="10">
    <w:name w:val="Сетка таблицы1"/>
    <w:uiPriority w:val="99"/>
    <w:rsid w:val="000B2D3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0B2D3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customStyle="1" w:styleId="21">
    <w:name w:val="Сетка таблицы2"/>
    <w:basedOn w:val="a2"/>
    <w:next w:val="a6"/>
    <w:uiPriority w:val="39"/>
    <w:rsid w:val="003D0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431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бычный (веб) Знак"/>
    <w:link w:val="a4"/>
    <w:rsid w:val="005472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E513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5">
    <w:name w:val="Основной текст_"/>
    <w:basedOn w:val="a1"/>
    <w:link w:val="22"/>
    <w:rsid w:val="00FA326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6">
    <w:name w:val="Основной текст + Полужирный"/>
    <w:basedOn w:val="af5"/>
    <w:rsid w:val="00FA32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5"/>
    <w:rsid w:val="00FA326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0"/>
    <w:link w:val="af5"/>
    <w:rsid w:val="00FA3266"/>
    <w:pPr>
      <w:widowControl w:val="0"/>
      <w:shd w:val="clear" w:color="auto" w:fill="FFFFFF"/>
      <w:spacing w:after="0" w:line="227" w:lineRule="exact"/>
      <w:ind w:hanging="4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7">
    <w:name w:val="Основной текст + Курсив"/>
    <w:basedOn w:val="af5"/>
    <w:rsid w:val="00FA32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6424-793C-44C5-AC7E-5D64FE67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 Абдыбекова</dc:creator>
  <cp:lastModifiedBy>Admin</cp:lastModifiedBy>
  <cp:revision>2</cp:revision>
  <cp:lastPrinted>2017-12-23T07:22:00Z</cp:lastPrinted>
  <dcterms:created xsi:type="dcterms:W3CDTF">2021-11-29T16:18:00Z</dcterms:created>
  <dcterms:modified xsi:type="dcterms:W3CDTF">2021-11-29T16:18:00Z</dcterms:modified>
</cp:coreProperties>
</file>