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D42C" w14:textId="3CF26D8D" w:rsidR="002B7CA5" w:rsidRPr="002B7CA5" w:rsidRDefault="002B7CA5" w:rsidP="002B7CA5">
      <w:pPr>
        <w:keepNext/>
        <w:keepLines/>
        <w:widowControl w:val="0"/>
        <w:spacing w:after="0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B7CA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742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</w:t>
      </w:r>
      <w:r w:rsidRPr="002B7CA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A742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_______</w:t>
      </w:r>
      <w:r w:rsidRPr="002B7CA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2B7CA5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Pr="002B7CA5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Pr="002B7CA5">
        <w:rPr>
          <w:rFonts w:ascii="Times New Roman" w:eastAsia="Calibri" w:hAnsi="Times New Roman" w:cs="Times New Roman"/>
          <w:b/>
          <w:sz w:val="24"/>
          <w:szCs w:val="24"/>
        </w:rPr>
        <w:t xml:space="preserve"> ж</w:t>
      </w:r>
      <w:r w:rsidRPr="002B7CA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ылғы</w:t>
      </w:r>
      <w:r w:rsidRPr="002B7CA5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A742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</w:t>
      </w:r>
      <w:r w:rsidRPr="002B7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B7CA5">
        <w:rPr>
          <w:rFonts w:ascii="Times New Roman" w:eastAsia="Calibri" w:hAnsi="Times New Roman" w:cs="Times New Roman"/>
          <w:b/>
          <w:sz w:val="24"/>
          <w:szCs w:val="24"/>
        </w:rPr>
        <w:t>Шартқа</w:t>
      </w:r>
      <w:proofErr w:type="spellEnd"/>
    </w:p>
    <w:p w14:paraId="1E223692" w14:textId="6FCD6DFF" w:rsidR="00EC2112" w:rsidRPr="002345E8" w:rsidRDefault="00EC2112" w:rsidP="0042353B">
      <w:pPr>
        <w:keepNext/>
        <w:keepLines/>
        <w:widowControl w:val="0"/>
        <w:spacing w:after="0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345E8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9454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45E8">
        <w:rPr>
          <w:rFonts w:ascii="Times New Roman" w:eastAsia="Calibri" w:hAnsi="Times New Roman" w:cs="Times New Roman"/>
          <w:b/>
          <w:sz w:val="24"/>
          <w:szCs w:val="24"/>
          <w:lang w:val="kk-KZ"/>
        </w:rPr>
        <w:t>6</w:t>
      </w:r>
      <w:r w:rsidRPr="00234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Calibri" w:hAnsi="Times New Roman" w:cs="Times New Roman"/>
          <w:b/>
          <w:sz w:val="24"/>
          <w:szCs w:val="24"/>
        </w:rPr>
        <w:t>қосымша</w:t>
      </w:r>
      <w:proofErr w:type="spellEnd"/>
    </w:p>
    <w:p w14:paraId="21944E9D" w14:textId="77777777" w:rsidR="00EC2112" w:rsidRPr="002345E8" w:rsidRDefault="00EC2112" w:rsidP="0042353B">
      <w:pPr>
        <w:keepNext/>
        <w:keepLines/>
        <w:widowControl w:val="0"/>
        <w:spacing w:after="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1CC783" w14:textId="77777777" w:rsidR="00EC2112" w:rsidRPr="002345E8" w:rsidRDefault="00EC2112" w:rsidP="0042353B">
      <w:pPr>
        <w:keepNext/>
        <w:keepLines/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45E8">
        <w:rPr>
          <w:rFonts w:ascii="Times New Roman" w:eastAsia="Calibri" w:hAnsi="Times New Roman" w:cs="Times New Roman"/>
          <w:b/>
          <w:sz w:val="24"/>
          <w:szCs w:val="24"/>
        </w:rPr>
        <w:t>Еңбек</w:t>
      </w:r>
      <w:proofErr w:type="spellEnd"/>
      <w:r w:rsidRPr="00234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Calibri" w:hAnsi="Times New Roman" w:cs="Times New Roman"/>
          <w:b/>
          <w:sz w:val="24"/>
          <w:szCs w:val="24"/>
        </w:rPr>
        <w:t>қатынастары</w:t>
      </w:r>
      <w:proofErr w:type="spellEnd"/>
      <w:r w:rsidRPr="00234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Calibri" w:hAnsi="Times New Roman" w:cs="Times New Roman"/>
          <w:b/>
          <w:sz w:val="24"/>
          <w:szCs w:val="24"/>
        </w:rPr>
        <w:t>саласындағы</w:t>
      </w:r>
      <w:proofErr w:type="spellEnd"/>
      <w:r w:rsidRPr="00234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Calibri" w:hAnsi="Times New Roman" w:cs="Times New Roman"/>
          <w:b/>
          <w:sz w:val="24"/>
          <w:szCs w:val="24"/>
        </w:rPr>
        <w:t>мердігер</w:t>
      </w:r>
      <w:proofErr w:type="spellEnd"/>
      <w:r w:rsidRPr="00234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Calibri" w:hAnsi="Times New Roman" w:cs="Times New Roman"/>
          <w:b/>
          <w:sz w:val="24"/>
          <w:szCs w:val="24"/>
        </w:rPr>
        <w:t>ұйымдарға</w:t>
      </w:r>
      <w:proofErr w:type="spellEnd"/>
      <w:r w:rsidRPr="00234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Calibri" w:hAnsi="Times New Roman" w:cs="Times New Roman"/>
          <w:b/>
          <w:sz w:val="24"/>
          <w:szCs w:val="24"/>
        </w:rPr>
        <w:t>қойылатын</w:t>
      </w:r>
      <w:proofErr w:type="spellEnd"/>
      <w:r w:rsidRPr="002345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Calibri" w:hAnsi="Times New Roman" w:cs="Times New Roman"/>
          <w:b/>
          <w:sz w:val="24"/>
          <w:szCs w:val="24"/>
        </w:rPr>
        <w:t>талаптар</w:t>
      </w:r>
      <w:proofErr w:type="spellEnd"/>
    </w:p>
    <w:p w14:paraId="6D1ED437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C023D6" w14:textId="25D44863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="008A115A"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ердігердің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шарт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жұмыстарды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орындау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қызметтер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көрсету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барысындағы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міндеттемелері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02BAB46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жұмыстарды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қызметтер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көрсету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барысында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Қазақстан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Республикасы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заңнамасының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талаптарын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оның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ішінде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5670CD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шарттарын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жасасу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тәртібі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мазмұны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нысанына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қойылатын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32302F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Адамды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шарты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жасалғаннан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ғана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жұмысқа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жіберу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6F2808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1.1.3.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уақытының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ұзақтығы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режимі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5F9426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Ауысымдық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еңбекті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ұйымдастырудың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вахталық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әдісі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C33618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Түнгі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уақыты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FF0AB7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1.1.6.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демалысы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4AD9B5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төменгі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еңбекақы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мөлшері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еңбекақы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төлеу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саласындағы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кепілдіктер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8EDCAE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Жалақыны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төлеу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тәртібі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мерзімдері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B4D6A6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Өндіріс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мәдениетінің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заманауи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деңгейін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денсаулықты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сақтау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қабілеттілігі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өнімділігін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арттыру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мақсатында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өз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қызметкерлері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мынадай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әлеуметтік-тұрмыстық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жағдайларды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89B9D88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1.2.1.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Шартты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өндірістік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орындарында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ыстық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тамақ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ауыз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су,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айтқанда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F754BA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қанағаттандыратын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сапалы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тамақтануды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күнделікті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бақылауды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Тағамның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жоғары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сіңімділігі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жақсы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дәмі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қолданылатын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өнімдердің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әртүрлілігі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ағзаның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қажеттіліктерін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толығымен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қанағаттандыратын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тиісті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құрамы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керек.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физикалық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еңбегі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жұмысшылар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ұсынылатын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энергия,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ақуыз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май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көмірсулар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тұтыну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тәулігіне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3450-ден 3600 ккал-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керек.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Осыған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жұмысшылардың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диетасы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жұмсалған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энергияны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толтырып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түскі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асқа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кешкі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асқа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1500 ккал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құрауы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керек;</w:t>
      </w:r>
    </w:p>
    <w:p w14:paraId="7F7A5A1A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деформацияланған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шеттері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сынған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жарылған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сынған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эмаль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зақымдалған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ас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үй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асхана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ыдыстарын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алюминийден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жасалған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ас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пластмассадан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престелген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фанерден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жасалған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кесу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тақталарын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пайдалануға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бермеу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DFA54A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тамақ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дайындау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санитарлық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эпидемиологиялық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сай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керек,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термоспен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қоректену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жағдайында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тамақ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дайындаудың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қабылдаудың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кезеңдерінде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жоғарыда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аталған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сақталуын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D4B585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1.2.2.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объектілерінде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істейтін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вахталық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әдіспен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асырылатын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қала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шегінен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орналасқан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тұрумен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айтқанда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44542E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вахталық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әдіспен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істейтін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өндіріс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объектісінде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тұру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кезеңінде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Жатақханалардың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тұрғын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бөлмелерінің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ауданы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адамға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6 м2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есебінен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айқындалады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5E50A2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аптасына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төсек-орын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жабдықтарын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сүлгілерді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жұмсақ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мүкәммалды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ауыстыруды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асыру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485494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жуу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дезинфекциялау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қолдана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құрғақ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дымқыл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тазалауды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асыру-күн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сайын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қажеттілігіне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қарай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бірақ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күніне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E1AA2D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ішкі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өрттен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қорғау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жүйесімен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қауіпсіздігі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шараларын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өрт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дабылы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түтін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датчиктерінің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үздіксіз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4A5638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электротехникалық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жабдықтар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желілердің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салқын-жылумен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жабдықтау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жүйесінің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ыстық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суық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сумен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жабдықтау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жүйелерінің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желдету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жүйесінің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үздіксіз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авариясыз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профилактикалық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жұмыстарды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жүргізуді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DA5BF7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санитариялық-гигиеналық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нормаларға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жатақханаларды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таза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ұстау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жуу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дезинфекциялау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құралдарымен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(ҚР-да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қолдануға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рұқсат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етілген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қағаз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сүлгілермен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материалдық-техникалық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жарақтандырылатын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дәретхана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қағаздарымен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етілсін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6E05C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объектілерінде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тұрумен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меншікті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Үй-жайлар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болмаған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вахталық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әдіспен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асырылатын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қала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шегінен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орналасқан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тұру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жағдайларымен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мақсатында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объектілерінде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тұрғын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үй-жайларды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пайдалануға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қол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шаралар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қолдануға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9E3CA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объектілерінде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істейтін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объектілеріне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көлікпен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сондай-ақ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объектілер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жүріп-тұруды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ретте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04A955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жолаушылар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тасымалын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асыруға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көлік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қызметтерін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көрсетуге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рұқсат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құжаттары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E0D98D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жолаушыларды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тасымалдауға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арналған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көлік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жинақтау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ауаны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баптау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желдету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жүйесі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жылыту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жүйесі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жұмсақ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орындықтар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автобустар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шағын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автобустардың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салондары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таза,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бүлінбеген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реттелетін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отырғыштар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06CE7E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көлік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жайлылық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талаптарына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сай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жолаушылар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қауіпсіздік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белдіктері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жазғы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қысқы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уақыт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кезеңінде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техникалық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жарақтандырылуы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C6A33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талаптарына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толық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міндеттемелерді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қажетті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мөлшерде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жарамды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күйде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құралдарымен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атап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айтқанда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құралдарымен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механикалық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құралдарымен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станоктармен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машиналармен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жабдықтармен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т.б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309BB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6C937A7" w14:textId="7438299F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Қызметкерлер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арасындағы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көңіл-күй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ақпаратты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уақтылы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алу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мақсатында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қызметкерлермен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өзара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іс-қимыл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жасау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тәртібі</w:t>
      </w:r>
      <w:proofErr w:type="spellEnd"/>
    </w:p>
    <w:p w14:paraId="5068F103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көңіл-күйі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ақпаратты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уақтылы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ұйымның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хабардар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мақсатында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ішкі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коммуникациялардың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мынадай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тетіктерін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F2D6C8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сайын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жартыжылдықтың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қорытындысы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қыркүйекке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жылдың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қорытындысы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наурызға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әлеуметтік-еңбек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қатынастары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қызметкерлерімен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кездеседі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ұжымы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өндірістік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көрсеткіштері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хабардар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етіледі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ал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басшылығы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сұрақтары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ұсыныстарын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жинайды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оларға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жауаптар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бірінші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ұйымының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айына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қабылдауды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асырады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269690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өтініштерін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қарауды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өтініш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берушілердің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қабылданған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шешімдер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жауаптар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алуын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AFF56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D244BB" w14:textId="673EEDDD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осы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Талаптардың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ережелерін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сақтауына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берушінің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тексеру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жүргізу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тәртібі</w:t>
      </w:r>
      <w:proofErr w:type="spellEnd"/>
    </w:p>
    <w:p w14:paraId="2EA3A682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заңнамасының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ережелерін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сақтауы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тұрғысынан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жоспарлы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жоспардан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тексерулер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жүргізуге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құқылы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нәтижелері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қосымшаға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нысан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парағын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жолымен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ресімделеді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78445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Жоспарлы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тексерулер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жылына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кемінде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жүргізіледі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Жоспардан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тексерулер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қызметкерлерінің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құқықтарын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бұзу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келіп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түскен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өтініштері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өтініштері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бұқаралық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ақпарат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құралдарында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жарияланымдар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органдардан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өзге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көздерден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лауазымды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адамдарынан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келіп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түскен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мәліметтер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негізінде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жүргізіледі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A2A01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жүргізу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барысында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578A2128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өзекті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объективті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деректерді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ұсыну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26EF98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әлеуметтік-тұрмыстық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өндірістік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сипаттағы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объектілерге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қолжетімділігін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281EC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FEFD32" w14:textId="15EAAEC1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Мердігердің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Орындаушының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қатынастары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саласындағы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ілеспе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міндеттемелері</w:t>
      </w:r>
      <w:proofErr w:type="spellEnd"/>
    </w:p>
    <w:p w14:paraId="0E44456D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міндеттенеді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282D67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әлеуметтік-тұрмыстық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сипаттағы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жағымсыз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көріністердің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пайда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болуының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ықтимал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факторларын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себептерін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жағдайлары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алғышарттарын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анықтау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бекіту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тұрғысынан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ұжымындағы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ахуалға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үздіксіз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мониторинг пен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талдауды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жүзеге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асыру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62BB35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ұжымында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наразылықтардың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туындауының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нақты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ықтимал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тәуекелдерін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зерделеу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бағалау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болжау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B4C495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әлеуметтік-еңбек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жанжалдары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туындаған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туындаған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хабарлау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Бұл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ретте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жұмыскерлердің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өкілдерімен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келіссөздер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процесіне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кіру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туындаған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жағдайды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шешу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жөнінде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шаралар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қабылдау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қолданыстағы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заңнамаға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берушінің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объектілеріне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жұмысқа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тартылатын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қосалқы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мердігерлік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ұйымдарға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ұқсас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талаптарды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белгілеу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66A48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884A69" w14:textId="77777777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Жауапкершілік</w:t>
      </w:r>
      <w:proofErr w:type="spellEnd"/>
    </w:p>
    <w:p w14:paraId="749B7A87" w14:textId="3AA3E180" w:rsidR="00EC2112" w:rsidRPr="002345E8" w:rsidRDefault="00EC2112" w:rsidP="0042353B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EC2112" w:rsidRPr="002345E8" w:rsidSect="00A60F8E">
          <w:footerReference w:type="even" r:id="rId6"/>
          <w:footerReference w:type="default" r:id="rId7"/>
          <w:pgSz w:w="11900" w:h="16840"/>
          <w:pgMar w:top="851" w:right="851" w:bottom="851" w:left="1418" w:header="0" w:footer="3" w:gutter="0"/>
          <w:pgNumType w:start="53"/>
          <w:cols w:space="720"/>
          <w:noEndnote/>
          <w:docGrid w:linePitch="360"/>
        </w:sectPr>
      </w:pP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44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қатынастары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саласындағы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ұйымдарға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қойылатын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талаптар</w:t>
      </w:r>
      <w:proofErr w:type="spellEnd"/>
      <w:r w:rsidR="009454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шартына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осы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қосымшаны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орындамаған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серіктестік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мердігерді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Орындаушыны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шартты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бұзғанға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жауапкершілікке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тартуға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sz w:val="24"/>
          <w:szCs w:val="24"/>
        </w:rPr>
        <w:t>құқылы</w:t>
      </w:r>
      <w:proofErr w:type="spellEnd"/>
      <w:r w:rsidRPr="00234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13A87F" w14:textId="1CA5830B" w:rsidR="008A115A" w:rsidRPr="002345E8" w:rsidRDefault="008A115A" w:rsidP="0042353B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2020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жылғы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«30»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маусымдағы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Регламенттің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D53459A" w14:textId="2E073D75" w:rsidR="008A115A" w:rsidRPr="002345E8" w:rsidRDefault="008A115A" w:rsidP="0042353B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қатынастары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саласындағы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3939DB" w14:textId="3F2D2AA0" w:rsidR="008A115A" w:rsidRPr="002345E8" w:rsidRDefault="008A115A" w:rsidP="0042353B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мердігерлік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ұйымдарға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қойылатын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талаптар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14:paraId="5F2C051B" w14:textId="5EA20F7E" w:rsidR="00EC2112" w:rsidRPr="002345E8" w:rsidRDefault="008A115A" w:rsidP="0042353B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№1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Қосымшаға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 </w:t>
      </w:r>
      <w:proofErr w:type="spellStart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нысан</w:t>
      </w:r>
      <w:proofErr w:type="spellEnd"/>
      <w:r w:rsidRPr="002345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8005F08" w14:textId="77777777" w:rsidR="00EC2112" w:rsidRPr="002345E8" w:rsidRDefault="00EC2112" w:rsidP="002345E8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714AB2E2" w14:textId="77777777" w:rsidR="00EC2112" w:rsidRPr="004E2E9B" w:rsidRDefault="00EC2112" w:rsidP="0042353B">
      <w:pPr>
        <w:widowControl w:val="0"/>
        <w:spacing w:after="0"/>
        <w:ind w:left="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E2E9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ТЕКСЕРУ ПАРАҒЫ</w:t>
      </w:r>
    </w:p>
    <w:p w14:paraId="59BD8767" w14:textId="77777777" w:rsidR="00EC2112" w:rsidRPr="004E2E9B" w:rsidRDefault="00EC2112" w:rsidP="0042353B">
      <w:pPr>
        <w:widowControl w:val="0"/>
        <w:spacing w:after="0"/>
        <w:ind w:left="32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2E9B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берушінің мердігерді / Орындаушыны облыстағы міндеттемелердің сақталуына тексеру жүргізуі үшін</w:t>
      </w:r>
    </w:p>
    <w:p w14:paraId="57006BA2" w14:textId="77777777" w:rsidR="00EC2112" w:rsidRPr="004E2E9B" w:rsidRDefault="00EC2112" w:rsidP="0042353B">
      <w:pPr>
        <w:widowControl w:val="0"/>
        <w:spacing w:after="0"/>
        <w:ind w:left="32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2E9B">
        <w:rPr>
          <w:rFonts w:ascii="Times New Roman" w:eastAsia="Times New Roman" w:hAnsi="Times New Roman" w:cs="Times New Roman"/>
          <w:sz w:val="24"/>
          <w:szCs w:val="24"/>
          <w:lang w:val="kk-KZ"/>
        </w:rPr>
        <w:t>шарт бойынша міндеттемелерді орындау кезіндегі еңбек қатынастары</w:t>
      </w:r>
    </w:p>
    <w:tbl>
      <w:tblPr>
        <w:tblOverlap w:val="never"/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76"/>
        <w:gridCol w:w="669"/>
        <w:gridCol w:w="667"/>
        <w:gridCol w:w="22"/>
        <w:gridCol w:w="3150"/>
        <w:gridCol w:w="22"/>
      </w:tblGrid>
      <w:tr w:rsidR="00EC2112" w:rsidRPr="00A742A6" w14:paraId="705A7C94" w14:textId="77777777" w:rsidTr="008A115A">
        <w:trPr>
          <w:trHeight w:hRule="exact" w:val="521"/>
          <w:jc w:val="center"/>
        </w:trPr>
        <w:tc>
          <w:tcPr>
            <w:tcW w:w="9952" w:type="dxa"/>
            <w:gridSpan w:val="7"/>
            <w:shd w:val="clear" w:color="auto" w:fill="FFFFFF"/>
            <w:vAlign w:val="center"/>
          </w:tcPr>
          <w:p w14:paraId="462E114C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4E2E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Бұл тексеру парағы мердігерлік ұйымда жүргізілетін тексеру кезінде жазба нысаны ретінде қызмет етеді</w:t>
            </w:r>
          </w:p>
        </w:tc>
      </w:tr>
      <w:tr w:rsidR="00EC2112" w:rsidRPr="00A742A6" w14:paraId="36C621B5" w14:textId="77777777" w:rsidTr="008A115A">
        <w:trPr>
          <w:trHeight w:hRule="exact" w:val="713"/>
          <w:jc w:val="center"/>
        </w:trPr>
        <w:tc>
          <w:tcPr>
            <w:tcW w:w="9952" w:type="dxa"/>
            <w:gridSpan w:val="7"/>
            <w:shd w:val="clear" w:color="auto" w:fill="FFFFFF"/>
            <w:vAlign w:val="center"/>
          </w:tcPr>
          <w:p w14:paraId="5A6A3027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4E2E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Мердігер ұйым дербес заңды тұлға бола отырып, ҚР Еңбек кодексінің нормаларын сақтауға және еңбек саласындағы шарттық талаптарды орындауға жауапты болады</w:t>
            </w:r>
          </w:p>
        </w:tc>
      </w:tr>
      <w:tr w:rsidR="00EC2112" w:rsidRPr="00A742A6" w14:paraId="4EE512E2" w14:textId="77777777" w:rsidTr="00EC2112">
        <w:trPr>
          <w:trHeight w:hRule="exact" w:val="302"/>
          <w:jc w:val="center"/>
        </w:trPr>
        <w:tc>
          <w:tcPr>
            <w:tcW w:w="9952" w:type="dxa"/>
            <w:gridSpan w:val="7"/>
            <w:shd w:val="clear" w:color="auto" w:fill="FFFFFF"/>
            <w:vAlign w:val="center"/>
          </w:tcPr>
          <w:p w14:paraId="6A07F8EA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4E2E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Бұл тексеру еңбек қауіпсіздігі мен еңбекті қорғаудың жай күйін қамтымайды</w:t>
            </w:r>
          </w:p>
        </w:tc>
      </w:tr>
      <w:tr w:rsidR="00EC2112" w:rsidRPr="002345E8" w14:paraId="1185DD3C" w14:textId="77777777" w:rsidTr="00EC2112">
        <w:trPr>
          <w:trHeight w:hRule="exact" w:val="317"/>
          <w:jc w:val="center"/>
        </w:trPr>
        <w:tc>
          <w:tcPr>
            <w:tcW w:w="6780" w:type="dxa"/>
            <w:gridSpan w:val="5"/>
            <w:shd w:val="clear" w:color="auto" w:fill="FFFFFF"/>
            <w:vAlign w:val="center"/>
          </w:tcPr>
          <w:p w14:paraId="451234D4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Тексеру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кезеңі</w:t>
            </w:r>
            <w:proofErr w:type="spellEnd"/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668182DA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2370E1E1" w14:textId="77777777" w:rsidTr="00EC2112">
        <w:trPr>
          <w:trHeight w:hRule="exact" w:val="293"/>
          <w:jc w:val="center"/>
        </w:trPr>
        <w:tc>
          <w:tcPr>
            <w:tcW w:w="9952" w:type="dxa"/>
            <w:gridSpan w:val="7"/>
            <w:shd w:val="clear" w:color="auto" w:fill="FFFFFF"/>
            <w:vAlign w:val="center"/>
          </w:tcPr>
          <w:p w14:paraId="5784F9D2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ЖАЛПЫ МӘЛІМЕТТЕР</w:t>
            </w:r>
          </w:p>
        </w:tc>
      </w:tr>
      <w:tr w:rsidR="00EC2112" w:rsidRPr="002345E8" w14:paraId="6891BFA1" w14:textId="77777777" w:rsidTr="00EC2112">
        <w:trPr>
          <w:trHeight w:hRule="exact" w:val="298"/>
          <w:jc w:val="center"/>
        </w:trPr>
        <w:tc>
          <w:tcPr>
            <w:tcW w:w="6780" w:type="dxa"/>
            <w:gridSpan w:val="5"/>
            <w:shd w:val="clear" w:color="auto" w:fill="FFFFFF"/>
            <w:vAlign w:val="center"/>
          </w:tcPr>
          <w:p w14:paraId="3C96407E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Тексеруге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қатысушылар</w:t>
            </w:r>
            <w:proofErr w:type="spellEnd"/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6B34EDC0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15FCAB81" w14:textId="77777777" w:rsidTr="00EC2112">
        <w:trPr>
          <w:trHeight w:hRule="exact" w:val="298"/>
          <w:jc w:val="center"/>
        </w:trPr>
        <w:tc>
          <w:tcPr>
            <w:tcW w:w="6780" w:type="dxa"/>
            <w:gridSpan w:val="5"/>
            <w:shd w:val="clear" w:color="auto" w:fill="FFFFFF"/>
            <w:vAlign w:val="center"/>
          </w:tcPr>
          <w:p w14:paraId="3A717E72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Өткізу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орны</w:t>
            </w:r>
            <w:proofErr w:type="spellEnd"/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2F0CB807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7C80906A" w14:textId="77777777" w:rsidTr="00EC2112">
        <w:trPr>
          <w:trHeight w:hRule="exact" w:val="302"/>
          <w:jc w:val="center"/>
        </w:trPr>
        <w:tc>
          <w:tcPr>
            <w:tcW w:w="6780" w:type="dxa"/>
            <w:gridSpan w:val="5"/>
            <w:shd w:val="clear" w:color="auto" w:fill="FFFFFF"/>
            <w:vAlign w:val="center"/>
          </w:tcPr>
          <w:p w14:paraId="194C27DE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Өткізу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күні</w:t>
            </w:r>
            <w:proofErr w:type="spellEnd"/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19A22560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581A5162" w14:textId="77777777" w:rsidTr="00EC2112">
        <w:trPr>
          <w:trHeight w:hRule="exact" w:val="298"/>
          <w:jc w:val="center"/>
        </w:trPr>
        <w:tc>
          <w:tcPr>
            <w:tcW w:w="9952" w:type="dxa"/>
            <w:gridSpan w:val="7"/>
            <w:shd w:val="clear" w:color="auto" w:fill="FFFFFF"/>
            <w:vAlign w:val="center"/>
          </w:tcPr>
          <w:p w14:paraId="6B3129B7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МЕРДІГЕРЛІК ҰЙЫМ ТУРАЛЫ АҚПАРАТ</w:t>
            </w:r>
          </w:p>
        </w:tc>
      </w:tr>
      <w:tr w:rsidR="00EC2112" w:rsidRPr="002345E8" w14:paraId="06D3B51A" w14:textId="77777777" w:rsidTr="00EC2112">
        <w:trPr>
          <w:trHeight w:hRule="exact" w:val="302"/>
          <w:jc w:val="center"/>
        </w:trPr>
        <w:tc>
          <w:tcPr>
            <w:tcW w:w="6780" w:type="dxa"/>
            <w:gridSpan w:val="5"/>
            <w:shd w:val="clear" w:color="auto" w:fill="FFFFFF"/>
            <w:vAlign w:val="center"/>
          </w:tcPr>
          <w:p w14:paraId="04B0F8D8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Компанияның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14471A96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68C174A0" w14:textId="77777777" w:rsidTr="00EC2112">
        <w:trPr>
          <w:trHeight w:hRule="exact" w:val="298"/>
          <w:jc w:val="center"/>
        </w:trPr>
        <w:tc>
          <w:tcPr>
            <w:tcW w:w="6780" w:type="dxa"/>
            <w:gridSpan w:val="5"/>
            <w:shd w:val="clear" w:color="auto" w:fill="FFFFFF"/>
            <w:vAlign w:val="center"/>
          </w:tcPr>
          <w:p w14:paraId="02D75A4D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Қызметкерлердің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1AAFE3C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368B08AA" w14:textId="77777777" w:rsidTr="00EC2112">
        <w:trPr>
          <w:gridAfter w:val="1"/>
          <w:wAfter w:w="22" w:type="dxa"/>
          <w:trHeight w:hRule="exact" w:val="298"/>
          <w:jc w:val="center"/>
        </w:trPr>
        <w:tc>
          <w:tcPr>
            <w:tcW w:w="5422" w:type="dxa"/>
            <w:gridSpan w:val="2"/>
            <w:shd w:val="clear" w:color="auto" w:fill="FFFFFF"/>
            <w:vAlign w:val="center"/>
          </w:tcPr>
          <w:p w14:paraId="60A4053A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Жұмысқа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қабылдау</w:t>
            </w:r>
            <w:proofErr w:type="spellEnd"/>
          </w:p>
        </w:tc>
        <w:tc>
          <w:tcPr>
            <w:tcW w:w="669" w:type="dxa"/>
            <w:shd w:val="clear" w:color="auto" w:fill="FFFFFF"/>
            <w:vAlign w:val="center"/>
          </w:tcPr>
          <w:p w14:paraId="0F695984" w14:textId="77777777" w:rsidR="00EC2112" w:rsidRPr="002345E8" w:rsidRDefault="00EC2112" w:rsidP="0042353B">
            <w:pPr>
              <w:widowControl w:val="0"/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Иә</w:t>
            </w:r>
            <w:proofErr w:type="spellEnd"/>
          </w:p>
        </w:tc>
        <w:tc>
          <w:tcPr>
            <w:tcW w:w="667" w:type="dxa"/>
            <w:shd w:val="clear" w:color="auto" w:fill="FFFFFF"/>
            <w:vAlign w:val="center"/>
          </w:tcPr>
          <w:p w14:paraId="579BCF74" w14:textId="77777777" w:rsidR="00EC2112" w:rsidRPr="002345E8" w:rsidRDefault="00EC2112" w:rsidP="0042353B">
            <w:pPr>
              <w:widowControl w:val="0"/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Жоқ</w:t>
            </w:r>
            <w:proofErr w:type="spellEnd"/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0F727F51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пікір</w:t>
            </w:r>
            <w:proofErr w:type="spellEnd"/>
          </w:p>
        </w:tc>
      </w:tr>
      <w:tr w:rsidR="00EC2112" w:rsidRPr="002345E8" w14:paraId="0A6BFE3C" w14:textId="77777777" w:rsidTr="00EC2112">
        <w:trPr>
          <w:gridAfter w:val="1"/>
          <w:wAfter w:w="22" w:type="dxa"/>
          <w:trHeight w:hRule="exact" w:val="58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0ED82B1E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6" w:type="dxa"/>
            <w:shd w:val="clear" w:color="auto" w:fill="FFFFFF"/>
            <w:vAlign w:val="center"/>
          </w:tcPr>
          <w:p w14:paraId="15FACAB5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ресімделді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қызметкерлерге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дана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</w:p>
        </w:tc>
        <w:tc>
          <w:tcPr>
            <w:tcW w:w="669" w:type="dxa"/>
            <w:shd w:val="clear" w:color="auto" w:fill="FFFFFF"/>
            <w:vAlign w:val="center"/>
          </w:tcPr>
          <w:p w14:paraId="513F4D0E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14:paraId="047C00FC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243E706E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456759AA" w14:textId="77777777" w:rsidTr="00EC2112">
        <w:trPr>
          <w:gridAfter w:val="1"/>
          <w:wAfter w:w="22" w:type="dxa"/>
          <w:trHeight w:hRule="exact" w:val="1068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6C050834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6" w:type="dxa"/>
            <w:shd w:val="clear" w:color="auto" w:fill="FFFFFF"/>
            <w:vAlign w:val="center"/>
          </w:tcPr>
          <w:p w14:paraId="1818ACE0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бұйрықтар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жұмыскерлер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құпияны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құпиялылықты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жария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етпеу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міндеттемелер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таныстырылды</w:t>
            </w:r>
            <w:proofErr w:type="spellEnd"/>
          </w:p>
        </w:tc>
        <w:tc>
          <w:tcPr>
            <w:tcW w:w="669" w:type="dxa"/>
            <w:shd w:val="clear" w:color="auto" w:fill="FFFFFF"/>
            <w:vAlign w:val="center"/>
          </w:tcPr>
          <w:p w14:paraId="05ACDC21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14:paraId="53858DCB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459D7A3D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5848BBEF" w14:textId="77777777" w:rsidTr="00EC2112">
        <w:trPr>
          <w:gridAfter w:val="1"/>
          <w:wAfter w:w="22" w:type="dxa"/>
          <w:trHeight w:hRule="exact" w:val="302"/>
          <w:jc w:val="center"/>
        </w:trPr>
        <w:tc>
          <w:tcPr>
            <w:tcW w:w="5422" w:type="dxa"/>
            <w:gridSpan w:val="2"/>
            <w:shd w:val="clear" w:color="auto" w:fill="FFFFFF"/>
            <w:vAlign w:val="center"/>
          </w:tcPr>
          <w:p w14:paraId="28E7B0FE" w14:textId="77777777" w:rsidR="00EC2112" w:rsidRPr="002345E8" w:rsidRDefault="00EC2112" w:rsidP="0042353B">
            <w:pPr>
              <w:widowControl w:val="0"/>
              <w:spacing w:after="0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режимі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демалыс</w:t>
            </w:r>
            <w:proofErr w:type="spellEnd"/>
          </w:p>
        </w:tc>
        <w:tc>
          <w:tcPr>
            <w:tcW w:w="669" w:type="dxa"/>
            <w:shd w:val="clear" w:color="auto" w:fill="FFFFFF"/>
            <w:vAlign w:val="center"/>
          </w:tcPr>
          <w:p w14:paraId="5B7DB8C5" w14:textId="77777777" w:rsidR="00EC2112" w:rsidRPr="002345E8" w:rsidRDefault="00EC2112" w:rsidP="0042353B">
            <w:pPr>
              <w:widowControl w:val="0"/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Иә</w:t>
            </w:r>
            <w:proofErr w:type="spellEnd"/>
          </w:p>
        </w:tc>
        <w:tc>
          <w:tcPr>
            <w:tcW w:w="667" w:type="dxa"/>
            <w:shd w:val="clear" w:color="auto" w:fill="FFFFFF"/>
            <w:vAlign w:val="center"/>
          </w:tcPr>
          <w:p w14:paraId="012635C3" w14:textId="77777777" w:rsidR="00EC2112" w:rsidRPr="002345E8" w:rsidRDefault="00EC2112" w:rsidP="0042353B">
            <w:pPr>
              <w:widowControl w:val="0"/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Жоқ</w:t>
            </w:r>
            <w:proofErr w:type="spellEnd"/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31E9254D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пікір</w:t>
            </w:r>
            <w:proofErr w:type="spellEnd"/>
          </w:p>
        </w:tc>
      </w:tr>
      <w:tr w:rsidR="00EC2112" w:rsidRPr="002345E8" w14:paraId="0F060F8D" w14:textId="77777777" w:rsidTr="00EC2112">
        <w:trPr>
          <w:gridAfter w:val="1"/>
          <w:wAfter w:w="22" w:type="dxa"/>
          <w:trHeight w:hRule="exact" w:val="698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795EB7AB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6" w:type="dxa"/>
            <w:shd w:val="clear" w:color="auto" w:fill="FFFFFF"/>
            <w:vAlign w:val="center"/>
          </w:tcPr>
          <w:p w14:paraId="41B91C99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карталарына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қойылады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нақты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көрсетеді</w:t>
            </w:r>
            <w:proofErr w:type="spellEnd"/>
          </w:p>
        </w:tc>
        <w:tc>
          <w:tcPr>
            <w:tcW w:w="669" w:type="dxa"/>
            <w:shd w:val="clear" w:color="auto" w:fill="FFFFFF"/>
            <w:vAlign w:val="center"/>
          </w:tcPr>
          <w:p w14:paraId="758AEE9F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14:paraId="6DF1502E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5D9DEFD1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31F70614" w14:textId="77777777" w:rsidTr="00EC2112">
        <w:trPr>
          <w:gridAfter w:val="1"/>
          <w:wAfter w:w="22" w:type="dxa"/>
          <w:trHeight w:hRule="exact" w:val="581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768F59E7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6" w:type="dxa"/>
            <w:shd w:val="clear" w:color="auto" w:fill="FFFFFF"/>
            <w:vAlign w:val="center"/>
          </w:tcPr>
          <w:p w14:paraId="7478F045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есепке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табельдеріне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вахта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аспайды</w:t>
            </w:r>
            <w:proofErr w:type="spellEnd"/>
          </w:p>
        </w:tc>
        <w:tc>
          <w:tcPr>
            <w:tcW w:w="669" w:type="dxa"/>
            <w:shd w:val="clear" w:color="auto" w:fill="FFFFFF"/>
            <w:vAlign w:val="center"/>
          </w:tcPr>
          <w:p w14:paraId="5EA682EC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14:paraId="34F97B51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61FC954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62533BCB" w14:textId="77777777" w:rsidTr="00EC2112">
        <w:trPr>
          <w:gridAfter w:val="1"/>
          <w:wAfter w:w="22" w:type="dxa"/>
          <w:trHeight w:hRule="exact" w:val="837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6CB105D4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6" w:type="dxa"/>
            <w:shd w:val="clear" w:color="auto" w:fill="FFFFFF"/>
            <w:vAlign w:val="center"/>
          </w:tcPr>
          <w:p w14:paraId="5E398AAD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Табельдерге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шартында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ұзақтықтан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аспайды</w:t>
            </w:r>
            <w:proofErr w:type="spellEnd"/>
          </w:p>
        </w:tc>
        <w:tc>
          <w:tcPr>
            <w:tcW w:w="669" w:type="dxa"/>
            <w:shd w:val="clear" w:color="auto" w:fill="FFFFFF"/>
            <w:vAlign w:val="center"/>
          </w:tcPr>
          <w:p w14:paraId="608A0801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14:paraId="2A62038E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0D2F155D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74115168" w14:textId="77777777" w:rsidTr="00EC2112">
        <w:trPr>
          <w:gridAfter w:val="1"/>
          <w:wAfter w:w="22" w:type="dxa"/>
          <w:trHeight w:hRule="exact" w:val="706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2E29BEA0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6" w:type="dxa"/>
            <w:shd w:val="clear" w:color="auto" w:fill="FFFFFF"/>
            <w:vAlign w:val="center"/>
          </w:tcPr>
          <w:p w14:paraId="1282DED6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Компанияда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соңғы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демалысы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берілмеген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жұмысшылар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жоқ</w:t>
            </w:r>
            <w:proofErr w:type="spellEnd"/>
          </w:p>
        </w:tc>
        <w:tc>
          <w:tcPr>
            <w:tcW w:w="669" w:type="dxa"/>
            <w:shd w:val="clear" w:color="auto" w:fill="FFFFFF"/>
            <w:vAlign w:val="center"/>
          </w:tcPr>
          <w:p w14:paraId="41AB81FF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14:paraId="6BA6EDB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7DF9D29A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630199F9" w14:textId="77777777" w:rsidTr="00EC2112">
        <w:trPr>
          <w:gridAfter w:val="1"/>
          <w:wAfter w:w="22" w:type="dxa"/>
          <w:trHeight w:hRule="exact" w:val="6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CFF89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4153F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ҚР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кодексіне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жасалған</w:t>
            </w:r>
            <w:proofErr w:type="spellEnd"/>
          </w:p>
        </w:tc>
        <w:tc>
          <w:tcPr>
            <w:tcW w:w="669" w:type="dxa"/>
            <w:shd w:val="clear" w:color="auto" w:fill="FFFFFF"/>
            <w:vAlign w:val="center"/>
          </w:tcPr>
          <w:p w14:paraId="4AFFC9A2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14:paraId="51E72B16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2C6CBFAA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5F52EA7B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CCEA8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0DDC6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ҚР ЕК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жүзеге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асырылды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8A721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091A8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09D65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1ED21AC5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7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A52C5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5FA20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уақытының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ұзақтығы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ҚР ЕК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реттеледі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97E0E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5D686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39AB0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15C6A611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6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9C052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3F1F0" w14:textId="77777777" w:rsidR="00EC2112" w:rsidRPr="002345E8" w:rsidRDefault="00EC2112" w:rsidP="0042353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ҚР ЕК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белгілеген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нормаларға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5709C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DE437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90020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3E382B60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7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D96DF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1A16F" w14:textId="77777777" w:rsidR="00EC2112" w:rsidRPr="002345E8" w:rsidRDefault="00EC2112" w:rsidP="0042353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Түнгі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уақытта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үстеме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тарту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бұзушылықтарға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берілмейді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AF08D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B0C45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26BA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6E416AA7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7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4CF94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C221A" w14:textId="77777777" w:rsidR="00EC2112" w:rsidRPr="002345E8" w:rsidRDefault="00EC2112" w:rsidP="0042353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Үстеме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жұмыстардың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ұзақтығы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сағаттан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жиырма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сағаттан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аспайды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52845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6BD5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A065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4C3E848E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9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573F7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EA8C5" w14:textId="77777777" w:rsidR="00EC2112" w:rsidRPr="002345E8" w:rsidRDefault="00EC2112" w:rsidP="0042353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Жұмыскердің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аяқталуы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ауысымы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басталуы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күнделікті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ауысымаралық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демалысының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ұзақтығы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D3F78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8B76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00DCF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6D96D910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9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02AEF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BC328" w14:textId="77777777" w:rsidR="00EC2112" w:rsidRPr="002345E8" w:rsidRDefault="00EC2112" w:rsidP="0042353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Қызметкерлерге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сайынғы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ақылы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демалысы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демалыс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уақтылы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беріледі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A8F14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FB8EC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1A97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223B5462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298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21C38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Жалақы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басқа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төлемдер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16F48" w14:textId="77777777" w:rsidR="00EC2112" w:rsidRPr="002345E8" w:rsidRDefault="00EC2112" w:rsidP="008A115A">
            <w:pPr>
              <w:widowControl w:val="0"/>
              <w:spacing w:after="0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Иә ақы және басқа төлемдер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6D5F3" w14:textId="77777777" w:rsidR="00EC2112" w:rsidRPr="002345E8" w:rsidRDefault="00EC2112" w:rsidP="008A11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Жоқ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BF58" w14:textId="77777777" w:rsidR="00EC2112" w:rsidRPr="002345E8" w:rsidRDefault="00EC2112" w:rsidP="008A11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пікір</w:t>
            </w:r>
            <w:proofErr w:type="spellEnd"/>
          </w:p>
        </w:tc>
      </w:tr>
      <w:tr w:rsidR="00EC2112" w:rsidRPr="002345E8" w14:paraId="0B27261C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9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0FD08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7F60B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Жалақы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бірінші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онкүндігінен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кешіктірілмей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ҚР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валютасында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ақшалай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нысанда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белгіленеді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төленеді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6F18B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D2A66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8125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112" w:rsidRPr="002345E8" w14:paraId="2303814C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9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DC674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33883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Төлем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парақтарындағы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сомалар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табельдерде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сағаттардың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ақысын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мереке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демалыс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күндері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түнгі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үстеме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уақытты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көрсетеді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FAD7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2F0AE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3699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112" w:rsidRPr="002345E8" w14:paraId="3D392C28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6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401DF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8A9DE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Зейнетақы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аударымдарды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төлеуді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98C08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DD557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E3A8D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112" w:rsidRPr="002345E8" w14:paraId="10FB8EBA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9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FDAD0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A470F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жарамсыздық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жәрдемақылар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ҚР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өтеледі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5010F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68AE4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4324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112" w:rsidRPr="002345E8" w14:paraId="3D828D84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6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F3676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90BE1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Мердігер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ҚР ЕК-де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еңбекақы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кепілдіктерді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9ADBA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A7D20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3C8C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112" w:rsidRPr="002345E8" w14:paraId="03B546AD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298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BE5CE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Расторжение трудовых отношений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BFC69" w14:textId="77777777" w:rsidR="00EC2112" w:rsidRPr="002345E8" w:rsidRDefault="00EC2112" w:rsidP="008A115A">
            <w:pPr>
              <w:widowControl w:val="0"/>
              <w:spacing w:after="0"/>
              <w:ind w:righ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Иә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ек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қатынастарын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бұзу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F0331" w14:textId="77777777" w:rsidR="00EC2112" w:rsidRPr="002345E8" w:rsidRDefault="00EC2112" w:rsidP="008A115A">
            <w:pPr>
              <w:widowControl w:val="0"/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Жоқ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A275E" w14:textId="77777777" w:rsidR="00EC2112" w:rsidRPr="002345E8" w:rsidRDefault="00EC2112" w:rsidP="008A11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пікір</w:t>
            </w:r>
            <w:proofErr w:type="spellEnd"/>
          </w:p>
        </w:tc>
      </w:tr>
      <w:tr w:rsidR="00EC2112" w:rsidRPr="00A742A6" w14:paraId="2CEF5AD1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2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50255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6C85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Қызметкердің бастамасы бойынша жұмыстан босатудың барлық жағдайлары жеке өтініштермен расталды, дұрыс ресімделді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AE489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E3AC7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1CA6B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C2112" w:rsidRPr="00A742A6" w14:paraId="067C0B96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BC5A3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9E385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 берушінің бастамасы бойынша жұмыстан босатудың барлық жағдайлары барабар, ҚР Еңбек кодексінің талаптарына сәйкес келеді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A2EF9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8CF23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F52E7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C2112" w:rsidRPr="002345E8" w14:paraId="19BC5841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289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53EA6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қатынастарын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бұзу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1593F" w14:textId="77777777" w:rsidR="00EC2112" w:rsidRPr="002345E8" w:rsidRDefault="00EC2112" w:rsidP="008A115A">
            <w:pPr>
              <w:widowControl w:val="0"/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Иә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ымдық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талаптарын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991CB" w14:textId="77777777" w:rsidR="00EC2112" w:rsidRPr="002345E8" w:rsidRDefault="00EC2112" w:rsidP="008A115A">
            <w:pPr>
              <w:widowControl w:val="0"/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Жоқ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ACC4B" w14:textId="77777777" w:rsidR="00EC2112" w:rsidRPr="002345E8" w:rsidRDefault="00EC2112" w:rsidP="008A11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пікір</w:t>
            </w:r>
            <w:proofErr w:type="spellEnd"/>
          </w:p>
        </w:tc>
      </w:tr>
      <w:tr w:rsidR="00EC2112" w:rsidRPr="002345E8" w14:paraId="6BBE74E9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4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26497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9F0CA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Компанияда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Ұжымдық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7397E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74E2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1E157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112" w:rsidRPr="00A742A6" w14:paraId="63D45FDD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5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7F23B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474E9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Компанияда жұмысшылар өкілдерінің жұмыс комитеті/кәсіподақ бар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5E050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B5CD0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48C3A" w14:textId="77777777" w:rsidR="00EC2112" w:rsidRPr="002345E8" w:rsidRDefault="00EC2112" w:rsidP="008A1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C2112" w:rsidRPr="002345E8" w14:paraId="4A63C582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338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E9679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Әлеуметтік-тұрмыстық жағдайларға қойылатын талаптар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F7D17" w14:textId="77777777" w:rsidR="00EC2112" w:rsidRPr="002345E8" w:rsidRDefault="00EC2112" w:rsidP="008A115A">
            <w:pPr>
              <w:widowControl w:val="0"/>
              <w:spacing w:after="0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Иә уметтік-тұрмыстық жағдайларға қойылатын талаптар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ED317" w14:textId="77777777" w:rsidR="00EC2112" w:rsidRPr="002345E8" w:rsidRDefault="00EC2112" w:rsidP="008A115A">
            <w:pPr>
              <w:widowControl w:val="0"/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Жоқ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4FD3C" w14:textId="77777777" w:rsidR="00EC2112" w:rsidRPr="002345E8" w:rsidRDefault="00EC2112" w:rsidP="008A11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пікір</w:t>
            </w:r>
            <w:proofErr w:type="spellEnd"/>
          </w:p>
        </w:tc>
      </w:tr>
      <w:tr w:rsidR="00EC2112" w:rsidRPr="002345E8" w14:paraId="3BA7725A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7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CD67A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D06BF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Өндірістік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орындарында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тамақпен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8B41C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2977F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D0C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447D279D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AB24D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6F203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Вахталық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әдіспен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істейтін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өндіріс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объектісінде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Жатақханалардың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бөлмелерінің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адамға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м2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есебінен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айқындалады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F4636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57FC1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2C571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7D2A67DE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7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58848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9E842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Аптасына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төсек-орындарды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сүлгілерді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жұмсақ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мүкәммалды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FE4FF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0ED3E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3EDD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2DA14304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FA9B4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E5A8C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дезинфекциялау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құрғақ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дымқыл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тазалауды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жүзеге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бірақ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485E0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0B41E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AE99E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54D7194E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2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4CA85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A1088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өрттен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қауіпсіздігі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дабылы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түтін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датчиктерінің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үздіксіз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күзет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жүйелерінің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үздіксіз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8FE6E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5B7AC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2908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08A9685D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2B9D9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0A4FB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желілердің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салқын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жүйелерінің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желдету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үздіксіз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авариясыз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60148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C07AB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EDCCC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3BD187CE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6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55AA0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297B8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нормаларға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жатақханаларды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таза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дезинфекциялау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сүлгілермен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жарақтандырумен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дәретхана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қағаздарымен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367C2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01EE5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117C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5C75D838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9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3C7CB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4AE68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міндеттемелердің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орындалуын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мөлшерде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жарамды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айтқанда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станоктармен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машиналармен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жабдықтармен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құралдармен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б.)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3A8C4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E5101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591F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4AA6E719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6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4D401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60746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объектілерінде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істейтін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Тапсырыс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объектілеріне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объектілер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жүріп-тұру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көлікпен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1EB42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B3337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8C914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27A20B9F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7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C73F5" w14:textId="77777777" w:rsidR="00EC2112" w:rsidRPr="002345E8" w:rsidRDefault="00EC2112" w:rsidP="00423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81F5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жолаушылар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белдік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белдіктері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жазғы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қысқы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кезеңінде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жарақтандырылуы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B428A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453E5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EAA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112" w:rsidRPr="002345E8" w14:paraId="0F324220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317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4A0C4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Ішкі</w:t>
            </w:r>
            <w:proofErr w:type="spellEnd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коммуникациялар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8360D" w14:textId="77777777" w:rsidR="00EC2112" w:rsidRPr="002345E8" w:rsidRDefault="00EC2112" w:rsidP="0042353B">
            <w:pPr>
              <w:widowControl w:val="0"/>
              <w:spacing w:after="0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Иә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E6911" w14:textId="77777777" w:rsidR="00EC2112" w:rsidRPr="002345E8" w:rsidRDefault="00EC2112" w:rsidP="0042353B">
            <w:pPr>
              <w:widowControl w:val="0"/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Жоқ</w:t>
            </w:r>
            <w:proofErr w:type="spellEnd"/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16A92" w14:textId="77777777" w:rsidR="00EC2112" w:rsidRPr="002345E8" w:rsidRDefault="00EC2112" w:rsidP="004235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234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пікір</w:t>
            </w:r>
            <w:proofErr w:type="spellEnd"/>
          </w:p>
        </w:tc>
      </w:tr>
      <w:tr w:rsidR="00EC2112" w:rsidRPr="00A742A6" w14:paraId="0DC36C09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6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F8C5C" w14:textId="77777777" w:rsidR="00EC2112" w:rsidRPr="002345E8" w:rsidRDefault="00EC2112" w:rsidP="0042353B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34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86AE1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Бірінші басшының еңбек ұжымымен кездесуі.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92231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16D38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D8C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C2112" w:rsidRPr="00A742A6" w14:paraId="74D7F423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8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45BC8" w14:textId="77777777" w:rsidR="00EC2112" w:rsidRPr="002345E8" w:rsidRDefault="00EC2112" w:rsidP="0042353B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35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1B836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Қызметкерлерді жеке мәселелері бойынша айына кемінде 1 (бір) рет қабылдау.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4BE12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C72D5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3B5A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C2112" w:rsidRPr="00A742A6" w14:paraId="0D039CFA" w14:textId="77777777" w:rsidTr="00EC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0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DDA14" w14:textId="77777777" w:rsidR="00EC2112" w:rsidRPr="002345E8" w:rsidRDefault="00EC2112" w:rsidP="0042353B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36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3F260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Қызметкерлердің өтініштерін қарау және өтініш берушілердің қабылданған шешімдер туралы жауаптар алуы.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64728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B428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02836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C2112" w:rsidRPr="00A742A6" w14:paraId="4679C088" w14:textId="77777777" w:rsidTr="00234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hRule="exact" w:val="16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9D1F3" w14:textId="77777777" w:rsidR="00EC2112" w:rsidRPr="002345E8" w:rsidRDefault="00EC2112" w:rsidP="0042353B">
            <w:pPr>
              <w:widowControl w:val="0"/>
              <w:spacing w:after="0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83AC8" w14:textId="77777777" w:rsidR="00EC2112" w:rsidRPr="002345E8" w:rsidRDefault="00EC2112" w:rsidP="0042353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2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Мердігер / Орындаушы Тапсырыс берушінің өндірістік процестеріне әсер етуі мүмкін өткір проблемалық мәселелер туындаған жағдайлар туралы уақтылы хабардар етеді.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3ECE2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39F53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0B7E" w14:textId="77777777" w:rsidR="00EC2112" w:rsidRPr="002345E8" w:rsidRDefault="00EC2112" w:rsidP="00423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4B85274" w14:textId="77777777" w:rsidR="00201689" w:rsidRDefault="00201689" w:rsidP="0042353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E3C5D8" w14:textId="77777777" w:rsidR="002B7CA5" w:rsidRDefault="002B7CA5" w:rsidP="0042353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2B7CA5" w:rsidRPr="002B7CA5" w14:paraId="1FC7787A" w14:textId="77777777" w:rsidTr="001C46F4">
        <w:trPr>
          <w:trHeight w:val="2471"/>
          <w:jc w:val="center"/>
        </w:trPr>
        <w:tc>
          <w:tcPr>
            <w:tcW w:w="4536" w:type="dxa"/>
          </w:tcPr>
          <w:p w14:paraId="3022929D" w14:textId="77777777" w:rsidR="002B7CA5" w:rsidRPr="002B7CA5" w:rsidRDefault="002B7CA5" w:rsidP="002B7C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B7C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Тапсырыс беруші: </w:t>
            </w:r>
          </w:p>
          <w:p w14:paraId="395F51D9" w14:textId="77777777" w:rsidR="002B7CA5" w:rsidRPr="002B7CA5" w:rsidRDefault="002B7CA5" w:rsidP="002B7C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B7C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«Өріктау Оперейтинг» ЖШС</w:t>
            </w:r>
          </w:p>
          <w:p w14:paraId="18D3D03F" w14:textId="77777777" w:rsidR="002B7CA5" w:rsidRPr="002B7CA5" w:rsidRDefault="002B7CA5" w:rsidP="002B7C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0E8AF45" w14:textId="77777777" w:rsidR="002B7CA5" w:rsidRPr="002B7CA5" w:rsidRDefault="002B7CA5" w:rsidP="002B7C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4998AE40" w14:textId="77777777" w:rsidR="002B7CA5" w:rsidRPr="002B7CA5" w:rsidRDefault="002B7CA5" w:rsidP="002B7C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B7C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 геолог</w:t>
            </w:r>
          </w:p>
          <w:p w14:paraId="0161B255" w14:textId="77777777" w:rsidR="002B7CA5" w:rsidRPr="002B7CA5" w:rsidRDefault="002B7CA5" w:rsidP="002B7C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1C031BA2" w14:textId="77777777" w:rsidR="002B7CA5" w:rsidRPr="002B7CA5" w:rsidRDefault="002B7CA5" w:rsidP="002B7C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3E47C489" w14:textId="77777777" w:rsidR="002B7CA5" w:rsidRPr="002B7CA5" w:rsidRDefault="002B7CA5" w:rsidP="002B7CA5">
            <w:pPr>
              <w:spacing w:after="0" w:line="240" w:lineRule="auto"/>
              <w:ind w:right="1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Pr="002B7C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Рахымберді Р</w:t>
            </w:r>
            <w:r w:rsidRPr="002B7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14:paraId="624B80F7" w14:textId="77777777" w:rsidR="002B7CA5" w:rsidRPr="002B7CA5" w:rsidRDefault="002B7CA5" w:rsidP="002B7CA5">
            <w:pPr>
              <w:spacing w:after="0" w:line="240" w:lineRule="auto"/>
              <w:ind w:right="126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7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Мердігер</w:t>
            </w:r>
            <w:r w:rsidRPr="002B7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6FD48CD" w14:textId="77777777" w:rsidR="002B7CA5" w:rsidRDefault="002B7CA5" w:rsidP="002B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A6890C0" w14:textId="77777777" w:rsidR="00A742A6" w:rsidRDefault="00A742A6" w:rsidP="002B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5AFA0BF" w14:textId="77777777" w:rsidR="00A742A6" w:rsidRDefault="00A742A6" w:rsidP="002B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B75790E" w14:textId="77777777" w:rsidR="00A742A6" w:rsidRDefault="00A742A6" w:rsidP="002B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3B75356" w14:textId="77777777" w:rsidR="00A742A6" w:rsidRDefault="00A742A6" w:rsidP="002B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5A06BF3" w14:textId="77777777" w:rsidR="00A742A6" w:rsidRPr="00A742A6" w:rsidRDefault="00A742A6" w:rsidP="002B7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DDE9A05" w14:textId="665A10FB" w:rsidR="002B7CA5" w:rsidRPr="002B7CA5" w:rsidRDefault="002B7CA5" w:rsidP="002B7CA5">
            <w:pPr>
              <w:spacing w:after="0" w:line="240" w:lineRule="auto"/>
              <w:ind w:right="1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B7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__________________ </w:t>
            </w:r>
          </w:p>
        </w:tc>
      </w:tr>
    </w:tbl>
    <w:p w14:paraId="34B1CFA1" w14:textId="77777777" w:rsidR="002B7CA5" w:rsidRPr="002345E8" w:rsidRDefault="002B7CA5" w:rsidP="0042353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B7CA5" w:rsidRPr="0023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4850" w14:textId="77777777" w:rsidR="008A115A" w:rsidRDefault="008A115A">
      <w:pPr>
        <w:spacing w:after="0" w:line="240" w:lineRule="auto"/>
      </w:pPr>
      <w:r>
        <w:separator/>
      </w:r>
    </w:p>
  </w:endnote>
  <w:endnote w:type="continuationSeparator" w:id="0">
    <w:p w14:paraId="1763D406" w14:textId="77777777" w:rsidR="008A115A" w:rsidRDefault="008A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A9F7" w14:textId="77777777" w:rsidR="0042353B" w:rsidRDefault="0042353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817029" wp14:editId="0BB892DD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0" t="0" r="0" b="0"/>
              <wp:wrapNone/>
              <wp:docPr id="84482665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C007D" w14:textId="77777777" w:rsidR="0042353B" w:rsidRDefault="0042353B">
                          <w:r w:rsidRPr="00EC2112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EC2112">
                            <w:fldChar w:fldCharType="separate"/>
                          </w:r>
                          <w:r w:rsidRPr="00EC2112">
                            <w:rPr>
                              <w:rStyle w:val="ac"/>
                              <w:rFonts w:eastAsiaTheme="minorHAnsi"/>
                              <w:noProof/>
                            </w:rPr>
                            <w:t>2</w:t>
                          </w:r>
                          <w:r w:rsidRPr="00EC2112">
                            <w:rPr>
                              <w:rStyle w:val="ac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1702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4.4pt;margin-top:782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47DC007D" w14:textId="77777777" w:rsidR="0042353B" w:rsidRDefault="0042353B">
                    <w:r w:rsidRPr="00EC2112">
                      <w:fldChar w:fldCharType="begin"/>
                    </w:r>
                    <w:r>
                      <w:instrText xml:space="preserve"> PAGE \* MERGEFORMAT </w:instrText>
                    </w:r>
                    <w:r w:rsidRPr="00EC2112">
                      <w:fldChar w:fldCharType="separate"/>
                    </w:r>
                    <w:r w:rsidRPr="00EC2112">
                      <w:rPr>
                        <w:rStyle w:val="ac"/>
                        <w:rFonts w:eastAsiaTheme="minorHAnsi"/>
                        <w:noProof/>
                      </w:rPr>
                      <w:t>2</w:t>
                    </w:r>
                    <w:r w:rsidRPr="00EC2112">
                      <w:rPr>
                        <w:rStyle w:val="ac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350262"/>
      <w:docPartObj>
        <w:docPartGallery w:val="Page Numbers (Bottom of Page)"/>
        <w:docPartUnique/>
      </w:docPartObj>
    </w:sdtPr>
    <w:sdtEndPr/>
    <w:sdtContent>
      <w:p w14:paraId="381C1E1A" w14:textId="1D50C3BF" w:rsidR="008815E4" w:rsidRDefault="008815E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0D765" w14:textId="3AF674A9" w:rsidR="0042353B" w:rsidRDefault="0042353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BECA" w14:textId="77777777" w:rsidR="008A115A" w:rsidRDefault="008A115A">
      <w:pPr>
        <w:spacing w:after="0" w:line="240" w:lineRule="auto"/>
      </w:pPr>
      <w:r>
        <w:separator/>
      </w:r>
    </w:p>
  </w:footnote>
  <w:footnote w:type="continuationSeparator" w:id="0">
    <w:p w14:paraId="520B11D3" w14:textId="77777777" w:rsidR="008A115A" w:rsidRDefault="008A1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89"/>
    <w:rsid w:val="00006C70"/>
    <w:rsid w:val="00071A7D"/>
    <w:rsid w:val="001D6B86"/>
    <w:rsid w:val="00201689"/>
    <w:rsid w:val="00227978"/>
    <w:rsid w:val="002345E8"/>
    <w:rsid w:val="002B7CA5"/>
    <w:rsid w:val="00366B4E"/>
    <w:rsid w:val="0042353B"/>
    <w:rsid w:val="00466AD8"/>
    <w:rsid w:val="004E2E9B"/>
    <w:rsid w:val="00637562"/>
    <w:rsid w:val="006701BE"/>
    <w:rsid w:val="007E2F4D"/>
    <w:rsid w:val="0080317E"/>
    <w:rsid w:val="008815E4"/>
    <w:rsid w:val="008A115A"/>
    <w:rsid w:val="0094544D"/>
    <w:rsid w:val="009A5279"/>
    <w:rsid w:val="00A007C7"/>
    <w:rsid w:val="00A60F8E"/>
    <w:rsid w:val="00A742A6"/>
    <w:rsid w:val="00AD0D0D"/>
    <w:rsid w:val="00B01261"/>
    <w:rsid w:val="00C20C26"/>
    <w:rsid w:val="00D77643"/>
    <w:rsid w:val="00E70000"/>
    <w:rsid w:val="00E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AEE2"/>
  <w15:chartTrackingRefBased/>
  <w15:docId w15:val="{99D9B025-8301-4A19-9158-5B4D3286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8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16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8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6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68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68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68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68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68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6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6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6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6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6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6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68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1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68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16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68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016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16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1689"/>
    <w:rPr>
      <w:b/>
      <w:bCs/>
      <w:smallCaps/>
      <w:color w:val="0F4761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01689"/>
    <w:rPr>
      <w:rFonts w:ascii="Times New Roman" w:eastAsia="Times New Roman" w:hAnsi="Times New Roman" w:cs="Times New Roman"/>
      <w:sz w:val="26"/>
      <w:szCs w:val="26"/>
      <w:shd w:val="clear" w:color="auto" w:fill="FFFFFF"/>
      <w:lang w:val="kk-KZ" w:eastAsia="kk-KZ" w:bidi="kk-KZ"/>
    </w:rPr>
  </w:style>
  <w:style w:type="paragraph" w:customStyle="1" w:styleId="24">
    <w:name w:val="Основной текст (2)"/>
    <w:basedOn w:val="a"/>
    <w:link w:val="23"/>
    <w:rsid w:val="00201689"/>
    <w:pPr>
      <w:widowControl w:val="0"/>
      <w:shd w:val="clear" w:color="auto" w:fill="FFFFFF"/>
      <w:spacing w:before="240" w:after="0" w:line="302" w:lineRule="exact"/>
      <w:ind w:firstLine="680"/>
      <w:jc w:val="both"/>
    </w:pPr>
    <w:rPr>
      <w:rFonts w:ascii="Times New Roman" w:eastAsia="Times New Roman" w:hAnsi="Times New Roman" w:cs="Times New Roman"/>
      <w:kern w:val="2"/>
      <w:sz w:val="26"/>
      <w:szCs w:val="26"/>
      <w:lang w:val="kk-KZ" w:eastAsia="kk-KZ" w:bidi="kk-KZ"/>
      <w14:ligatures w14:val="standardContextual"/>
    </w:rPr>
  </w:style>
  <w:style w:type="character" w:customStyle="1" w:styleId="213pt">
    <w:name w:val="Основной текст (2) + 13 pt;Полужирный"/>
    <w:basedOn w:val="23"/>
    <w:rsid w:val="00201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201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2016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2016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01689"/>
    <w:pPr>
      <w:widowControl w:val="0"/>
      <w:shd w:val="clear" w:color="auto" w:fill="FFFFFF"/>
      <w:spacing w:before="600" w:after="0" w:line="298" w:lineRule="exact"/>
      <w:jc w:val="right"/>
    </w:pPr>
    <w:rPr>
      <w:rFonts w:ascii="Times New Roman" w:eastAsia="Times New Roman" w:hAnsi="Times New Roman" w:cs="Times New Roman"/>
      <w:b/>
      <w:bCs/>
      <w:kern w:val="2"/>
      <w:sz w:val="26"/>
      <w:szCs w:val="26"/>
      <w14:ligatures w14:val="standardContextual"/>
    </w:rPr>
  </w:style>
  <w:style w:type="character" w:customStyle="1" w:styleId="ac">
    <w:name w:val="Колонтитул"/>
    <w:basedOn w:val="a0"/>
    <w:rsid w:val="00EC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2B7CA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8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15E4"/>
    <w:rPr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881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15E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Капишев Талгат Есетович</dc:creator>
  <cp:keywords/>
  <dc:description/>
  <cp:lastModifiedBy>Базарбаева Алия Мунаевна</cp:lastModifiedBy>
  <cp:revision>13</cp:revision>
  <dcterms:created xsi:type="dcterms:W3CDTF">2024-10-14T06:47:00Z</dcterms:created>
  <dcterms:modified xsi:type="dcterms:W3CDTF">2025-02-19T09:57:00Z</dcterms:modified>
</cp:coreProperties>
</file>