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 xml:space="preserve">Утверждена </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 xml:space="preserve">Приказом  </w:t>
      </w:r>
      <w:proofErr w:type="gramStart"/>
      <w:r w:rsidRPr="008F7B6D">
        <w:rPr>
          <w:rFonts w:ascii="Times New Roman" w:hAnsi="Times New Roman"/>
          <w:sz w:val="20"/>
          <w:szCs w:val="20"/>
        </w:rPr>
        <w:t>Генерального</w:t>
      </w:r>
      <w:proofErr w:type="gramEnd"/>
      <w:r w:rsidRPr="008F7B6D">
        <w:rPr>
          <w:rFonts w:ascii="Times New Roman" w:hAnsi="Times New Roman"/>
          <w:sz w:val="20"/>
          <w:szCs w:val="20"/>
        </w:rPr>
        <w:t xml:space="preserve"> директора</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 xml:space="preserve">ТОО «Богатырь </w:t>
      </w:r>
      <w:proofErr w:type="spellStart"/>
      <w:r w:rsidRPr="008F7B6D">
        <w:rPr>
          <w:rFonts w:ascii="Times New Roman" w:hAnsi="Times New Roman"/>
          <w:sz w:val="20"/>
          <w:szCs w:val="20"/>
        </w:rPr>
        <w:t>Комир</w:t>
      </w:r>
      <w:proofErr w:type="spellEnd"/>
      <w:r w:rsidRPr="008F7B6D">
        <w:rPr>
          <w:rFonts w:ascii="Times New Roman" w:hAnsi="Times New Roman"/>
          <w:sz w:val="20"/>
          <w:szCs w:val="20"/>
        </w:rPr>
        <w:t>»</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Корсаков Н.</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 xml:space="preserve">от  «___»_________2020  года №____ </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_____________________________</w:t>
      </w:r>
    </w:p>
    <w:p w:rsidR="008F7B6D" w:rsidRPr="008F7B6D" w:rsidRDefault="008F7B6D" w:rsidP="008F7B6D">
      <w:pPr>
        <w:spacing w:after="0" w:line="240" w:lineRule="auto"/>
        <w:contextualSpacing/>
        <w:jc w:val="right"/>
        <w:rPr>
          <w:rFonts w:ascii="Times New Roman" w:hAnsi="Times New Roman"/>
          <w:sz w:val="20"/>
          <w:szCs w:val="20"/>
        </w:rPr>
      </w:pPr>
      <w:r w:rsidRPr="008F7B6D">
        <w:rPr>
          <w:rFonts w:ascii="Times New Roman" w:hAnsi="Times New Roman"/>
          <w:sz w:val="20"/>
          <w:szCs w:val="20"/>
        </w:rPr>
        <w:t>М.п.</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ТЕНДЕРНАЯ ДОКУМЕНТАЦИЯ</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закупк</w:t>
      </w:r>
      <w:r>
        <w:rPr>
          <w:rFonts w:ascii="Times New Roman" w:hAnsi="Times New Roman"/>
          <w:b/>
          <w:bCs/>
          <w:sz w:val="20"/>
          <w:szCs w:val="20"/>
        </w:rPr>
        <w:t>и</w:t>
      </w:r>
      <w:r w:rsidRPr="008F7B6D">
        <w:rPr>
          <w:rFonts w:ascii="Times New Roman" w:hAnsi="Times New Roman"/>
          <w:b/>
          <w:bCs/>
          <w:sz w:val="20"/>
          <w:szCs w:val="20"/>
        </w:rPr>
        <w:t xml:space="preserve"> товара способом открытого тендера в рамках реализации</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 xml:space="preserve">закупочной </w:t>
      </w:r>
      <w:proofErr w:type="spellStart"/>
      <w:r w:rsidRPr="008F7B6D">
        <w:rPr>
          <w:rFonts w:ascii="Times New Roman" w:hAnsi="Times New Roman"/>
          <w:b/>
          <w:bCs/>
          <w:sz w:val="20"/>
          <w:szCs w:val="20"/>
        </w:rPr>
        <w:t>категорийной</w:t>
      </w:r>
      <w:proofErr w:type="spellEnd"/>
      <w:r w:rsidRPr="008F7B6D">
        <w:rPr>
          <w:rFonts w:ascii="Times New Roman" w:hAnsi="Times New Roman"/>
          <w:b/>
          <w:bCs/>
          <w:sz w:val="20"/>
          <w:szCs w:val="20"/>
        </w:rPr>
        <w:t xml:space="preserve"> стратегии (комплексная закупка)</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на 2020 год (далее – Тендерная документация)</w:t>
      </w:r>
    </w:p>
    <w:p w:rsidR="008F7B6D" w:rsidRPr="008F7B6D" w:rsidRDefault="008F7B6D" w:rsidP="008F7B6D">
      <w:pPr>
        <w:spacing w:after="0" w:line="240" w:lineRule="auto"/>
        <w:contextualSpacing/>
        <w:jc w:val="center"/>
        <w:rPr>
          <w:rFonts w:ascii="Times New Roman" w:hAnsi="Times New Roman"/>
          <w:b/>
          <w:bCs/>
          <w:sz w:val="20"/>
          <w:szCs w:val="20"/>
        </w:rPr>
      </w:pPr>
    </w:p>
    <w:p w:rsidR="008F7B6D" w:rsidRPr="008F7B6D" w:rsidRDefault="008F7B6D" w:rsidP="008F7B6D">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8F7B6D">
        <w:rPr>
          <w:rFonts w:ascii="Times New Roman" w:hAnsi="Times New Roman"/>
          <w:sz w:val="20"/>
          <w:szCs w:val="20"/>
        </w:rPr>
        <w:t>Настоящая тендерная документация разработана в соответствии с</w:t>
      </w:r>
      <w:r>
        <w:rPr>
          <w:rFonts w:ascii="Times New Roman" w:hAnsi="Times New Roman"/>
          <w:sz w:val="20"/>
          <w:szCs w:val="20"/>
        </w:rPr>
        <w:t xml:space="preserve"> Порядком¹ и </w:t>
      </w:r>
      <w:bookmarkStart w:id="0" w:name="_Toc432008221"/>
      <w:r w:rsidRPr="008F7B6D">
        <w:rPr>
          <w:rFonts w:ascii="Times New Roman" w:hAnsi="Times New Roman"/>
          <w:sz w:val="20"/>
          <w:szCs w:val="20"/>
          <w:lang w:val="kk-KZ"/>
        </w:rPr>
        <w:t xml:space="preserve">Стандартом управления закупочной деятельностью </w:t>
      </w:r>
      <w:bookmarkEnd w:id="0"/>
      <w:r w:rsidRPr="008F7B6D">
        <w:rPr>
          <w:rFonts w:ascii="Times New Roman" w:hAnsi="Times New Roman"/>
          <w:sz w:val="20"/>
          <w:szCs w:val="20"/>
        </w:rPr>
        <w:t>акционерного общества «Фонд национального благосостояния «Самру</w:t>
      </w:r>
      <w:proofErr w:type="gramStart"/>
      <w:r w:rsidRPr="008F7B6D">
        <w:rPr>
          <w:rFonts w:ascii="Times New Roman" w:hAnsi="Times New Roman"/>
          <w:sz w:val="20"/>
          <w:szCs w:val="20"/>
        </w:rPr>
        <w:t>к-</w:t>
      </w:r>
      <w:proofErr w:type="gramEnd"/>
      <w:r w:rsidRPr="008F7B6D">
        <w:rPr>
          <w:rFonts w:ascii="Times New Roman" w:hAnsi="Times New Roman"/>
          <w:sz w:val="20"/>
          <w:szCs w:val="20"/>
        </w:rPr>
        <w:t xml:space="preserve">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утвержденные Решением Правления </w:t>
      </w:r>
      <w:r>
        <w:rPr>
          <w:rFonts w:ascii="Times New Roman" w:hAnsi="Times New Roman"/>
          <w:sz w:val="20"/>
          <w:szCs w:val="20"/>
        </w:rPr>
        <w:t>АО «ФНБ «</w:t>
      </w:r>
      <w:proofErr w:type="spellStart"/>
      <w:r>
        <w:rPr>
          <w:rFonts w:ascii="Times New Roman" w:hAnsi="Times New Roman"/>
          <w:sz w:val="20"/>
          <w:szCs w:val="20"/>
        </w:rPr>
        <w:t>Самрук</w:t>
      </w:r>
      <w:proofErr w:type="spellEnd"/>
      <w:r>
        <w:rPr>
          <w:rFonts w:ascii="Times New Roman" w:hAnsi="Times New Roman"/>
          <w:sz w:val="20"/>
          <w:szCs w:val="20"/>
        </w:rPr>
        <w:t>-</w:t>
      </w:r>
      <w:r w:rsidRPr="008F7B6D">
        <w:rPr>
          <w:rFonts w:ascii="Times New Roman" w:hAnsi="Times New Roman"/>
          <w:sz w:val="20"/>
          <w:szCs w:val="20"/>
        </w:rPr>
        <w:t xml:space="preserve"> Қазына</w:t>
      </w:r>
      <w:r>
        <w:rPr>
          <w:rFonts w:ascii="Times New Roman" w:hAnsi="Times New Roman"/>
          <w:sz w:val="20"/>
          <w:szCs w:val="20"/>
        </w:rPr>
        <w:t>» от 25 мая 2020 года №20/20 (далее – Стандарт).</w:t>
      </w:r>
    </w:p>
    <w:p w:rsidR="004E0B01" w:rsidRPr="004E0B01" w:rsidRDefault="004E0B01" w:rsidP="004E0B01">
      <w:pPr>
        <w:numPr>
          <w:ilvl w:val="0"/>
          <w:numId w:val="1"/>
        </w:numPr>
        <w:spacing w:after="0" w:line="240" w:lineRule="auto"/>
        <w:contextualSpacing/>
        <w:jc w:val="center"/>
        <w:rPr>
          <w:rFonts w:ascii="Times New Roman" w:hAnsi="Times New Roman"/>
          <w:b/>
          <w:sz w:val="20"/>
          <w:szCs w:val="20"/>
        </w:rPr>
      </w:pPr>
      <w:r w:rsidRPr="004E0B01">
        <w:rPr>
          <w:rFonts w:ascii="Times New Roman" w:hAnsi="Times New Roman"/>
          <w:b/>
          <w:sz w:val="20"/>
          <w:szCs w:val="20"/>
        </w:rPr>
        <w:t>Общие положения</w:t>
      </w:r>
    </w:p>
    <w:p w:rsidR="008F7B6D" w:rsidRPr="008F7B6D" w:rsidRDefault="008F7B6D" w:rsidP="008F7B6D">
      <w:pPr>
        <w:spacing w:after="0" w:line="240" w:lineRule="auto"/>
        <w:contextualSpacing/>
        <w:jc w:val="both"/>
        <w:rPr>
          <w:rFonts w:ascii="Times New Roman" w:hAnsi="Times New Roman"/>
          <w:b/>
          <w:sz w:val="20"/>
          <w:szCs w:val="20"/>
        </w:rPr>
      </w:pPr>
      <w:r w:rsidRPr="008F7B6D">
        <w:rPr>
          <w:rFonts w:ascii="Times New Roman" w:hAnsi="Times New Roman"/>
          <w:b/>
          <w:sz w:val="20"/>
          <w:szCs w:val="20"/>
        </w:rPr>
        <w:t>В настоящей тендерной документации используются следующие основные понятия:</w:t>
      </w:r>
    </w:p>
    <w:p w:rsidR="008F7B6D" w:rsidRPr="008F7B6D" w:rsidRDefault="008F7B6D" w:rsidP="008F7B6D">
      <w:pPr>
        <w:spacing w:after="0" w:line="240" w:lineRule="auto"/>
        <w:contextualSpacing/>
        <w:jc w:val="both"/>
        <w:rPr>
          <w:rFonts w:ascii="Times New Roman" w:hAnsi="Times New Roman"/>
          <w:b/>
          <w:sz w:val="20"/>
          <w:szCs w:val="20"/>
        </w:rPr>
      </w:pPr>
      <w:r>
        <w:rPr>
          <w:rFonts w:ascii="Times New Roman" w:hAnsi="Times New Roman"/>
          <w:b/>
          <w:sz w:val="20"/>
          <w:szCs w:val="20"/>
        </w:rPr>
        <w:t xml:space="preserve">           </w:t>
      </w:r>
      <w:r w:rsidRPr="008F7B6D">
        <w:rPr>
          <w:rFonts w:ascii="Times New Roman" w:hAnsi="Times New Roman"/>
          <w:b/>
          <w:sz w:val="20"/>
          <w:szCs w:val="20"/>
        </w:rPr>
        <w:t xml:space="preserve">Система – </w:t>
      </w:r>
      <w:r w:rsidRPr="008F7B6D">
        <w:rPr>
          <w:rFonts w:ascii="Times New Roman" w:hAnsi="Times New Roman"/>
          <w:sz w:val="20"/>
          <w:szCs w:val="20"/>
          <w:lang w:val="kk-KZ"/>
        </w:rPr>
        <w:t>информационная система Фонда, обеспечивающая проведение электронных закупок в соответствии с Порядком и Стандартом</w:t>
      </w:r>
      <w:r w:rsidRPr="008F7B6D">
        <w:rPr>
          <w:rFonts w:ascii="Times New Roman" w:hAnsi="Times New Roman"/>
          <w:sz w:val="20"/>
          <w:szCs w:val="20"/>
        </w:rPr>
        <w:t>;</w:t>
      </w:r>
    </w:p>
    <w:p w:rsidR="008F7B6D" w:rsidRPr="008F7B6D" w:rsidRDefault="008F7B6D" w:rsidP="008F7B6D">
      <w:pPr>
        <w:spacing w:after="0" w:line="240" w:lineRule="auto"/>
        <w:contextualSpacing/>
        <w:jc w:val="both"/>
        <w:rPr>
          <w:rFonts w:ascii="Times New Roman" w:hAnsi="Times New Roman"/>
          <w:sz w:val="20"/>
          <w:szCs w:val="20"/>
        </w:rPr>
      </w:pPr>
      <w:r>
        <w:rPr>
          <w:rFonts w:ascii="Times New Roman" w:hAnsi="Times New Roman"/>
          <w:b/>
          <w:sz w:val="20"/>
          <w:szCs w:val="20"/>
        </w:rPr>
        <w:t xml:space="preserve">           </w:t>
      </w:r>
      <w:proofErr w:type="gramStart"/>
      <w:r>
        <w:rPr>
          <w:rFonts w:ascii="Times New Roman" w:hAnsi="Times New Roman"/>
          <w:b/>
          <w:sz w:val="20"/>
          <w:szCs w:val="20"/>
        </w:rPr>
        <w:t>Э</w:t>
      </w:r>
      <w:r w:rsidRPr="008F7B6D">
        <w:rPr>
          <w:rFonts w:ascii="Times New Roman" w:hAnsi="Times New Roman"/>
          <w:b/>
          <w:sz w:val="20"/>
          <w:szCs w:val="20"/>
        </w:rPr>
        <w:t>лектронный документ</w:t>
      </w:r>
      <w:r w:rsidRPr="008F7B6D">
        <w:rPr>
          <w:rFonts w:ascii="Times New Roman" w:hAnsi="Times New Roman"/>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w:t>
      </w:r>
      <w:proofErr w:type="gramEnd"/>
    </w:p>
    <w:p w:rsidR="008F7B6D" w:rsidRPr="008F7B6D" w:rsidRDefault="008F7B6D" w:rsidP="008F7B6D">
      <w:pPr>
        <w:spacing w:after="0" w:line="240" w:lineRule="auto"/>
        <w:contextualSpacing/>
        <w:jc w:val="both"/>
        <w:rPr>
          <w:rFonts w:ascii="Times New Roman" w:hAnsi="Times New Roman"/>
          <w:bCs/>
          <w:sz w:val="20"/>
          <w:szCs w:val="20"/>
        </w:rPr>
      </w:pPr>
      <w:r w:rsidRPr="008F7B6D">
        <w:rPr>
          <w:rFonts w:ascii="Times New Roman" w:hAnsi="Times New Roman"/>
          <w:b/>
          <w:bCs/>
          <w:sz w:val="20"/>
          <w:szCs w:val="20"/>
        </w:rPr>
        <w:t xml:space="preserve">            </w:t>
      </w:r>
      <w:r>
        <w:rPr>
          <w:rFonts w:ascii="Times New Roman" w:hAnsi="Times New Roman"/>
          <w:b/>
          <w:bCs/>
          <w:sz w:val="20"/>
          <w:szCs w:val="20"/>
        </w:rPr>
        <w:t>Э</w:t>
      </w:r>
      <w:r w:rsidRPr="008F7B6D">
        <w:rPr>
          <w:rFonts w:ascii="Times New Roman" w:hAnsi="Times New Roman"/>
          <w:b/>
          <w:bCs/>
          <w:sz w:val="20"/>
          <w:szCs w:val="20"/>
        </w:rPr>
        <w:t>лектронная копия</w:t>
      </w:r>
      <w:r w:rsidRPr="008F7B6D">
        <w:rPr>
          <w:rFonts w:ascii="Times New Roman" w:hAnsi="Times New Roman"/>
          <w:bCs/>
          <w:sz w:val="20"/>
          <w:szCs w:val="20"/>
        </w:rPr>
        <w:t xml:space="preserve"> - документ, полностью воспроизводящий содержание подлинного документа (нотариально заверенной копии) в электронно-цифровой форме, удостоверенный электронной цифровой подписью Пользователя;</w:t>
      </w:r>
    </w:p>
    <w:p w:rsidR="008F7B6D" w:rsidRPr="008F7B6D" w:rsidRDefault="008F7B6D" w:rsidP="008F7B6D">
      <w:pPr>
        <w:spacing w:after="0" w:line="240" w:lineRule="auto"/>
        <w:contextualSpacing/>
        <w:jc w:val="both"/>
        <w:rPr>
          <w:rFonts w:ascii="Times New Roman" w:hAnsi="Times New Roman"/>
          <w:bCs/>
          <w:sz w:val="20"/>
          <w:szCs w:val="20"/>
        </w:rPr>
      </w:pPr>
      <w:r>
        <w:rPr>
          <w:rFonts w:ascii="Times New Roman" w:hAnsi="Times New Roman"/>
          <w:b/>
          <w:bCs/>
          <w:sz w:val="20"/>
          <w:szCs w:val="20"/>
        </w:rPr>
        <w:t xml:space="preserve">           Э</w:t>
      </w:r>
      <w:r w:rsidRPr="008F7B6D">
        <w:rPr>
          <w:rFonts w:ascii="Times New Roman" w:hAnsi="Times New Roman"/>
          <w:b/>
          <w:bCs/>
          <w:sz w:val="20"/>
          <w:szCs w:val="20"/>
        </w:rPr>
        <w:t>лектронная банковская гарантия</w:t>
      </w:r>
      <w:r w:rsidRPr="008F7B6D">
        <w:rPr>
          <w:rFonts w:ascii="Times New Roman" w:hAnsi="Times New Roman"/>
          <w:bCs/>
          <w:sz w:val="20"/>
          <w:szCs w:val="20"/>
        </w:rPr>
        <w:t xml:space="preserve"> – банковская гарантия в форме электронного документа, выданная потенциальному поставщику в качестве обеспечения исполнения договора о закупках, банком второго уровня, заключившим соответствующее соглашение с единым оператором в сфере электронных закупок;</w:t>
      </w:r>
    </w:p>
    <w:p w:rsidR="008F7B6D" w:rsidRPr="008F7B6D" w:rsidRDefault="008F7B6D" w:rsidP="008F7B6D">
      <w:pPr>
        <w:spacing w:after="0" w:line="240" w:lineRule="auto"/>
        <w:contextualSpacing/>
        <w:jc w:val="both"/>
        <w:rPr>
          <w:rFonts w:ascii="Times New Roman" w:hAnsi="Times New Roman"/>
          <w:bCs/>
          <w:sz w:val="20"/>
          <w:szCs w:val="20"/>
        </w:rPr>
      </w:pPr>
      <w:r>
        <w:rPr>
          <w:rFonts w:ascii="Times New Roman" w:hAnsi="Times New Roman"/>
          <w:b/>
          <w:bCs/>
          <w:sz w:val="20"/>
          <w:szCs w:val="20"/>
        </w:rPr>
        <w:t xml:space="preserve">           </w:t>
      </w:r>
      <w:r w:rsidRPr="008F7B6D">
        <w:rPr>
          <w:rFonts w:ascii="Times New Roman" w:hAnsi="Times New Roman"/>
          <w:b/>
          <w:bCs/>
          <w:sz w:val="20"/>
          <w:szCs w:val="20"/>
        </w:rPr>
        <w:t>ЭЦП</w:t>
      </w:r>
      <w:r w:rsidRPr="008F7B6D">
        <w:rPr>
          <w:rFonts w:ascii="Times New Roman" w:hAnsi="Times New Roman"/>
          <w:bCs/>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8F7B6D" w:rsidRPr="008F7B6D" w:rsidRDefault="008F7B6D" w:rsidP="008F7B6D">
      <w:pPr>
        <w:spacing w:after="0" w:line="240" w:lineRule="auto"/>
        <w:contextualSpacing/>
        <w:jc w:val="both"/>
        <w:rPr>
          <w:rFonts w:ascii="Times New Roman" w:hAnsi="Times New Roman"/>
          <w:bCs/>
          <w:iCs/>
          <w:sz w:val="20"/>
          <w:szCs w:val="20"/>
        </w:rPr>
      </w:pPr>
      <w:r>
        <w:rPr>
          <w:rFonts w:ascii="Times New Roman" w:hAnsi="Times New Roman"/>
          <w:b/>
          <w:bCs/>
          <w:iCs/>
          <w:sz w:val="20"/>
          <w:szCs w:val="20"/>
        </w:rPr>
        <w:t xml:space="preserve">           Т</w:t>
      </w:r>
      <w:r w:rsidRPr="008F7B6D">
        <w:rPr>
          <w:rFonts w:ascii="Times New Roman" w:hAnsi="Times New Roman"/>
          <w:b/>
          <w:bCs/>
          <w:iCs/>
          <w:sz w:val="20"/>
          <w:szCs w:val="20"/>
        </w:rPr>
        <w:t xml:space="preserve">ендерная документация – </w:t>
      </w:r>
      <w:r w:rsidRPr="008F7B6D">
        <w:rPr>
          <w:rFonts w:ascii="Times New Roman" w:hAnsi="Times New Roman"/>
          <w:bCs/>
          <w:iCs/>
          <w:sz w:val="20"/>
          <w:szCs w:val="20"/>
        </w:rPr>
        <w:t>документация, предоставляемая потенциальному поставщику для подготовки тендерной заявки и содержащая сведения об условиях и порядке проведения тендера;</w:t>
      </w:r>
    </w:p>
    <w:p w:rsidR="008F7B6D" w:rsidRDefault="008F7B6D" w:rsidP="008F7B6D">
      <w:pPr>
        <w:spacing w:after="0" w:line="240" w:lineRule="auto"/>
        <w:contextualSpacing/>
        <w:jc w:val="both"/>
        <w:rPr>
          <w:rFonts w:ascii="Times New Roman" w:hAnsi="Times New Roman"/>
          <w:sz w:val="20"/>
          <w:szCs w:val="20"/>
        </w:rPr>
      </w:pPr>
      <w:r w:rsidRPr="008F7B6D">
        <w:rPr>
          <w:rFonts w:ascii="Times New Roman" w:hAnsi="Times New Roman"/>
          <w:b/>
          <w:sz w:val="20"/>
          <w:szCs w:val="20"/>
        </w:rPr>
        <w:t xml:space="preserve">      </w:t>
      </w:r>
      <w:r>
        <w:rPr>
          <w:rFonts w:ascii="Times New Roman" w:hAnsi="Times New Roman"/>
          <w:b/>
          <w:sz w:val="20"/>
          <w:szCs w:val="20"/>
        </w:rPr>
        <w:t xml:space="preserve">     З</w:t>
      </w:r>
      <w:r w:rsidRPr="008F7B6D">
        <w:rPr>
          <w:rFonts w:ascii="Times New Roman" w:hAnsi="Times New Roman"/>
          <w:b/>
          <w:sz w:val="20"/>
          <w:szCs w:val="20"/>
        </w:rPr>
        <w:t xml:space="preserve">акупочная </w:t>
      </w:r>
      <w:proofErr w:type="spellStart"/>
      <w:r w:rsidRPr="008F7B6D">
        <w:rPr>
          <w:rFonts w:ascii="Times New Roman" w:hAnsi="Times New Roman"/>
          <w:b/>
          <w:sz w:val="20"/>
          <w:szCs w:val="20"/>
        </w:rPr>
        <w:t>категорийная</w:t>
      </w:r>
      <w:proofErr w:type="spellEnd"/>
      <w:r w:rsidRPr="008F7B6D">
        <w:rPr>
          <w:rFonts w:ascii="Times New Roman" w:hAnsi="Times New Roman"/>
          <w:b/>
          <w:sz w:val="20"/>
          <w:szCs w:val="20"/>
        </w:rPr>
        <w:t xml:space="preserve"> стратегия (ЗКС) </w:t>
      </w:r>
      <w:r w:rsidRPr="008F7B6D">
        <w:rPr>
          <w:rFonts w:ascii="Times New Roman" w:hAnsi="Times New Roman"/>
          <w:sz w:val="20"/>
          <w:szCs w:val="20"/>
        </w:rPr>
        <w:t>–</w:t>
      </w:r>
      <w:r w:rsidRPr="008F7B6D">
        <w:rPr>
          <w:rFonts w:ascii="Times New Roman" w:hAnsi="Times New Roman"/>
          <w:b/>
          <w:sz w:val="20"/>
          <w:szCs w:val="20"/>
        </w:rPr>
        <w:t xml:space="preserve"> </w:t>
      </w:r>
      <w:r w:rsidRPr="008F7B6D">
        <w:rPr>
          <w:rFonts w:ascii="Times New Roman" w:hAnsi="Times New Roman"/>
          <w:sz w:val="20"/>
          <w:szCs w:val="20"/>
        </w:rPr>
        <w:t>документ, определяющий оптимальный подход к закупке товаров, работ и услуг, исходя из максимизации выгод;</w:t>
      </w:r>
    </w:p>
    <w:p w:rsidR="008F7B6D" w:rsidRPr="008F7B6D" w:rsidRDefault="008F7B6D" w:rsidP="008F7B6D">
      <w:pPr>
        <w:spacing w:after="0" w:line="240" w:lineRule="auto"/>
        <w:contextualSpacing/>
        <w:jc w:val="both"/>
        <w:rPr>
          <w:rFonts w:ascii="Times New Roman" w:hAnsi="Times New Roman"/>
          <w:sz w:val="20"/>
          <w:szCs w:val="20"/>
        </w:rPr>
      </w:pPr>
      <w:r>
        <w:rPr>
          <w:rFonts w:ascii="Times New Roman" w:hAnsi="Times New Roman"/>
          <w:b/>
          <w:sz w:val="20"/>
          <w:szCs w:val="20"/>
        </w:rPr>
        <w:t xml:space="preserve">           </w:t>
      </w:r>
      <w:r w:rsidRPr="008F7B6D">
        <w:rPr>
          <w:rFonts w:ascii="Times New Roman" w:hAnsi="Times New Roman"/>
          <w:b/>
          <w:sz w:val="20"/>
          <w:szCs w:val="20"/>
        </w:rPr>
        <w:t>Категория закупок (Категория)</w:t>
      </w:r>
      <w:r w:rsidRPr="008F7B6D">
        <w:rPr>
          <w:rFonts w:ascii="Times New Roman" w:hAnsi="Times New Roman"/>
          <w:sz w:val="20"/>
          <w:szCs w:val="20"/>
        </w:rPr>
        <w:t xml:space="preserve"> – группа товаров и/или группа работ и/или услуг, которые не являются идентичными, при этом объединяются в одну группу на основании одинаковых характерных признаков или схожих атрибутов, технических и иных характеристик, обеспечивающих выполнение схожих функций. При объединении номенклатурных позиций </w:t>
      </w:r>
      <w:proofErr w:type="gramStart"/>
      <w:r w:rsidRPr="008F7B6D">
        <w:rPr>
          <w:rFonts w:ascii="Times New Roman" w:hAnsi="Times New Roman"/>
          <w:sz w:val="20"/>
          <w:szCs w:val="20"/>
        </w:rPr>
        <w:t>ТРУ в Категорию закупок учитываются</w:t>
      </w:r>
      <w:proofErr w:type="gramEnd"/>
      <w:r w:rsidRPr="008F7B6D">
        <w:rPr>
          <w:rFonts w:ascii="Times New Roman" w:hAnsi="Times New Roman"/>
          <w:sz w:val="20"/>
          <w:szCs w:val="20"/>
        </w:rPr>
        <w:t xml:space="preserve"> такие факторы, как наличие общего рынка поставщиков, одинаковая технология производства, принадлежность к одной сфере деятельности и пр.;</w:t>
      </w:r>
    </w:p>
    <w:p w:rsidR="008F7B6D" w:rsidRPr="008F7B6D" w:rsidRDefault="008F7B6D" w:rsidP="008F7B6D">
      <w:pPr>
        <w:spacing w:after="0" w:line="240" w:lineRule="auto"/>
        <w:contextualSpacing/>
        <w:jc w:val="both"/>
        <w:rPr>
          <w:rFonts w:ascii="Times New Roman" w:hAnsi="Times New Roman"/>
          <w:sz w:val="20"/>
          <w:szCs w:val="20"/>
        </w:rPr>
      </w:pPr>
      <w:r>
        <w:rPr>
          <w:rFonts w:ascii="Times New Roman" w:hAnsi="Times New Roman"/>
          <w:b/>
          <w:sz w:val="20"/>
          <w:szCs w:val="20"/>
        </w:rPr>
        <w:t xml:space="preserve">          </w:t>
      </w:r>
      <w:r w:rsidRPr="008F7B6D">
        <w:rPr>
          <w:rFonts w:ascii="Times New Roman" w:hAnsi="Times New Roman"/>
          <w:b/>
          <w:sz w:val="20"/>
          <w:szCs w:val="20"/>
        </w:rPr>
        <w:t>Холдинг</w:t>
      </w:r>
      <w:r w:rsidRPr="008F7B6D">
        <w:rPr>
          <w:rFonts w:ascii="Times New Roman" w:hAnsi="Times New Roman"/>
          <w:sz w:val="20"/>
          <w:szCs w:val="20"/>
        </w:rPr>
        <w:t xml:space="preserve"> – совокупность АО «Самру</w:t>
      </w:r>
      <w:proofErr w:type="gramStart"/>
      <w:r w:rsidRPr="008F7B6D">
        <w:rPr>
          <w:rFonts w:ascii="Times New Roman" w:hAnsi="Times New Roman"/>
          <w:sz w:val="20"/>
          <w:szCs w:val="20"/>
        </w:rPr>
        <w:t>к-</w:t>
      </w:r>
      <w:proofErr w:type="gramEnd"/>
      <w:r w:rsidRPr="008F7B6D">
        <w:rPr>
          <w:rFonts w:ascii="Times New Roman" w:hAnsi="Times New Roman"/>
          <w:sz w:val="20"/>
          <w:szCs w:val="20"/>
        </w:rPr>
        <w:t xml:space="preserve">Қазына»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 </w:t>
      </w:r>
    </w:p>
    <w:p w:rsidR="008F7B6D" w:rsidRPr="008F7B6D" w:rsidRDefault="008F7B6D" w:rsidP="008F7B6D">
      <w:pPr>
        <w:spacing w:after="0" w:line="240" w:lineRule="auto"/>
        <w:contextualSpacing/>
        <w:jc w:val="both"/>
        <w:rPr>
          <w:rFonts w:ascii="Times New Roman" w:hAnsi="Times New Roman"/>
          <w:sz w:val="20"/>
          <w:szCs w:val="20"/>
        </w:rPr>
      </w:pPr>
      <w:r>
        <w:rPr>
          <w:rFonts w:ascii="Times New Roman" w:hAnsi="Times New Roman"/>
          <w:b/>
          <w:sz w:val="20"/>
          <w:szCs w:val="20"/>
        </w:rPr>
        <w:t xml:space="preserve">          </w:t>
      </w:r>
      <w:r w:rsidRPr="008F7B6D">
        <w:rPr>
          <w:rFonts w:ascii="Times New Roman" w:hAnsi="Times New Roman"/>
          <w:b/>
          <w:sz w:val="20"/>
          <w:szCs w:val="20"/>
        </w:rPr>
        <w:t>Заказчик</w:t>
      </w:r>
      <w:r w:rsidRPr="008F7B6D">
        <w:rPr>
          <w:rFonts w:ascii="Times New Roman" w:hAnsi="Times New Roman"/>
          <w:sz w:val="20"/>
          <w:szCs w:val="20"/>
        </w:rPr>
        <w:t xml:space="preserve"> - Фонд или организация, входящая в Холдинг; Организатор закупок - юридическое лицо либо структурное подразделение, определенное Заказчико</w:t>
      </w:r>
      <w:proofErr w:type="gramStart"/>
      <w:r w:rsidRPr="008F7B6D">
        <w:rPr>
          <w:rFonts w:ascii="Times New Roman" w:hAnsi="Times New Roman"/>
          <w:sz w:val="20"/>
          <w:szCs w:val="20"/>
        </w:rPr>
        <w:t>м(</w:t>
      </w:r>
      <w:proofErr w:type="spellStart"/>
      <w:proofErr w:type="gramEnd"/>
      <w:r w:rsidRPr="008F7B6D">
        <w:rPr>
          <w:rFonts w:ascii="Times New Roman" w:hAnsi="Times New Roman"/>
          <w:sz w:val="20"/>
          <w:szCs w:val="20"/>
        </w:rPr>
        <w:t>ами</w:t>
      </w:r>
      <w:proofErr w:type="spellEnd"/>
      <w:r w:rsidRPr="008F7B6D">
        <w:rPr>
          <w:rFonts w:ascii="Times New Roman" w:hAnsi="Times New Roman"/>
          <w:sz w:val="20"/>
          <w:szCs w:val="20"/>
        </w:rPr>
        <w:t xml:space="preserve">) в целях выполнения процедур организации и проведения закупок;                   </w:t>
      </w:r>
    </w:p>
    <w:p w:rsidR="008F7B6D" w:rsidRPr="008F7B6D" w:rsidRDefault="008F7B6D" w:rsidP="008F7B6D">
      <w:pPr>
        <w:spacing w:after="0" w:line="240" w:lineRule="auto"/>
        <w:contextualSpacing/>
        <w:jc w:val="both"/>
        <w:rPr>
          <w:rFonts w:ascii="Times New Roman" w:hAnsi="Times New Roman"/>
          <w:sz w:val="20"/>
          <w:szCs w:val="20"/>
        </w:rPr>
      </w:pPr>
      <w:r w:rsidRPr="008F7B6D">
        <w:rPr>
          <w:rFonts w:ascii="Times New Roman" w:hAnsi="Times New Roman"/>
          <w:sz w:val="20"/>
          <w:szCs w:val="20"/>
        </w:rPr>
        <w:t xml:space="preserve">         </w:t>
      </w:r>
      <w:r w:rsidRPr="008F7B6D">
        <w:rPr>
          <w:rFonts w:ascii="Times New Roman" w:hAnsi="Times New Roman"/>
          <w:b/>
          <w:sz w:val="20"/>
          <w:szCs w:val="20"/>
        </w:rPr>
        <w:t>Потенциальный поставщик</w:t>
      </w:r>
      <w:r w:rsidRPr="008F7B6D">
        <w:rPr>
          <w:rFonts w:ascii="Times New Roman" w:hAnsi="Times New Roman"/>
          <w:sz w:val="20"/>
          <w:szCs w:val="20"/>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w:t>
      </w:r>
    </w:p>
    <w:p w:rsidR="008F7B6D" w:rsidRPr="008F7B6D" w:rsidRDefault="008F7B6D" w:rsidP="008F7B6D">
      <w:pPr>
        <w:spacing w:after="0" w:line="240" w:lineRule="auto"/>
        <w:contextualSpacing/>
        <w:jc w:val="both"/>
        <w:rPr>
          <w:rFonts w:ascii="Times New Roman" w:hAnsi="Times New Roman"/>
          <w:sz w:val="20"/>
          <w:szCs w:val="20"/>
        </w:rPr>
      </w:pPr>
      <w:r w:rsidRPr="008F7B6D">
        <w:rPr>
          <w:rFonts w:ascii="Times New Roman" w:hAnsi="Times New Roman"/>
          <w:b/>
          <w:sz w:val="20"/>
          <w:szCs w:val="20"/>
        </w:rPr>
        <w:t xml:space="preserve">        ПК </w:t>
      </w:r>
      <w:r w:rsidRPr="008F7B6D">
        <w:rPr>
          <w:rFonts w:ascii="Times New Roman" w:hAnsi="Times New Roman"/>
          <w:sz w:val="20"/>
          <w:szCs w:val="20"/>
        </w:rPr>
        <w:t xml:space="preserve">– дочерняя организация Фонда первого уровня, пятьюдесятью и более процентами голосующих акций (долей участия) которой прямо владеет Фонд на праве собственности или доверительного управления; </w:t>
      </w:r>
    </w:p>
    <w:p w:rsidR="00703461" w:rsidRDefault="008F7B6D" w:rsidP="008F7B6D">
      <w:pPr>
        <w:spacing w:after="0" w:line="240" w:lineRule="auto"/>
        <w:contextualSpacing/>
        <w:jc w:val="both"/>
        <w:rPr>
          <w:rFonts w:ascii="Times New Roman" w:hAnsi="Times New Roman"/>
          <w:b/>
          <w:sz w:val="20"/>
          <w:szCs w:val="20"/>
        </w:rPr>
      </w:pPr>
      <w:r w:rsidRPr="008F7B6D">
        <w:rPr>
          <w:rFonts w:ascii="Times New Roman" w:hAnsi="Times New Roman"/>
          <w:b/>
          <w:sz w:val="20"/>
          <w:szCs w:val="20"/>
        </w:rPr>
        <w:t xml:space="preserve">     </w:t>
      </w:r>
      <w:r>
        <w:rPr>
          <w:rFonts w:ascii="Times New Roman" w:hAnsi="Times New Roman"/>
          <w:b/>
          <w:sz w:val="20"/>
          <w:szCs w:val="20"/>
        </w:rPr>
        <w:t xml:space="preserve">  </w:t>
      </w:r>
    </w:p>
    <w:p w:rsidR="008F7B6D" w:rsidRDefault="008F7B6D" w:rsidP="008F7B6D">
      <w:pPr>
        <w:spacing w:after="0" w:line="240" w:lineRule="auto"/>
        <w:contextualSpacing/>
        <w:jc w:val="both"/>
        <w:rPr>
          <w:rFonts w:ascii="Times New Roman" w:hAnsi="Times New Roman"/>
          <w:sz w:val="20"/>
          <w:szCs w:val="20"/>
        </w:rPr>
      </w:pPr>
      <w:r w:rsidRPr="008F7B6D">
        <w:rPr>
          <w:rFonts w:ascii="Times New Roman" w:hAnsi="Times New Roman"/>
          <w:sz w:val="20"/>
          <w:szCs w:val="20"/>
        </w:rPr>
        <w:t xml:space="preserve">Тендерная документация доступна к получению посредством информационной системы электронных закупок на </w:t>
      </w:r>
      <w:proofErr w:type="spellStart"/>
      <w:r w:rsidRPr="008F7B6D">
        <w:rPr>
          <w:rFonts w:ascii="Times New Roman" w:hAnsi="Times New Roman"/>
          <w:sz w:val="20"/>
          <w:szCs w:val="20"/>
        </w:rPr>
        <w:t>веб-портале</w:t>
      </w:r>
      <w:proofErr w:type="spellEnd"/>
      <w:r w:rsidRPr="008F7B6D">
        <w:rPr>
          <w:rFonts w:ascii="Times New Roman" w:hAnsi="Times New Roman"/>
          <w:sz w:val="20"/>
          <w:szCs w:val="20"/>
        </w:rPr>
        <w:t xml:space="preserve">: </w:t>
      </w:r>
      <w:hyperlink r:id="rId8" w:history="1">
        <w:r w:rsidR="00A343A2" w:rsidRPr="00EE6716">
          <w:rPr>
            <w:rStyle w:val="a3"/>
            <w:rFonts w:ascii="Times New Roman" w:hAnsi="Times New Roman"/>
            <w:sz w:val="20"/>
            <w:szCs w:val="20"/>
          </w:rPr>
          <w:t>https://zakup.sk.</w:t>
        </w:r>
        <w:proofErr w:type="spellStart"/>
        <w:r w:rsidR="00A343A2" w:rsidRPr="00EE6716">
          <w:rPr>
            <w:rStyle w:val="a3"/>
            <w:rFonts w:ascii="Times New Roman" w:hAnsi="Times New Roman"/>
            <w:sz w:val="20"/>
            <w:szCs w:val="20"/>
            <w:lang w:val="en-US"/>
          </w:rPr>
          <w:t>kz</w:t>
        </w:r>
        <w:proofErr w:type="spellEnd"/>
      </w:hyperlink>
    </w:p>
    <w:p w:rsidR="00B54BEE" w:rsidRDefault="00B54BEE" w:rsidP="00B54BEE">
      <w:pPr>
        <w:tabs>
          <w:tab w:val="left" w:pos="228"/>
        </w:tabs>
        <w:spacing w:before="240" w:after="0" w:line="240" w:lineRule="auto"/>
        <w:contextualSpacing/>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r>
      <w:r>
        <w:rPr>
          <w:rFonts w:ascii="Times New Roman" w:hAnsi="Times New Roman"/>
          <w:b/>
          <w:bCs/>
          <w:sz w:val="20"/>
          <w:szCs w:val="20"/>
        </w:rPr>
        <w:softHyphen/>
        <w:t>____________________________</w:t>
      </w:r>
    </w:p>
    <w:p w:rsidR="00B54BEE" w:rsidRPr="00CF4903" w:rsidRDefault="00B54BEE" w:rsidP="00B54BEE">
      <w:pPr>
        <w:pStyle w:val="a4"/>
        <w:rPr>
          <w:i/>
          <w:sz w:val="18"/>
          <w:szCs w:val="18"/>
        </w:rPr>
      </w:pPr>
      <w:r w:rsidRPr="00CF4903">
        <w:rPr>
          <w:rStyle w:val="a6"/>
          <w:i/>
          <w:sz w:val="18"/>
          <w:szCs w:val="18"/>
        </w:rPr>
        <w:footnoteRef/>
      </w:r>
      <w:r w:rsidRPr="00CF4903">
        <w:rPr>
          <w:i/>
          <w:sz w:val="18"/>
          <w:szCs w:val="18"/>
        </w:rPr>
        <w:t xml:space="preserve"> </w:t>
      </w:r>
      <w:r w:rsidRPr="00CF4903">
        <w:rPr>
          <w:rFonts w:ascii="Times New Roman" w:hAnsi="Times New Roman"/>
          <w:i/>
          <w:sz w:val="18"/>
          <w:szCs w:val="18"/>
        </w:rPr>
        <w:t>Порядок осуществления закупок акционерным обществом «Фонд национального благосостояния «Самру</w:t>
      </w:r>
      <w:proofErr w:type="gramStart"/>
      <w:r w:rsidRPr="00CF4903">
        <w:rPr>
          <w:rFonts w:ascii="Times New Roman" w:hAnsi="Times New Roman"/>
          <w:i/>
          <w:sz w:val="18"/>
          <w:szCs w:val="18"/>
        </w:rPr>
        <w:t>к-</w:t>
      </w:r>
      <w:proofErr w:type="gramEnd"/>
      <w:r w:rsidRPr="00CF4903">
        <w:rPr>
          <w:rFonts w:ascii="Times New Roman" w:hAnsi="Times New Roman"/>
          <w:i/>
          <w:sz w:val="18"/>
          <w:szCs w:val="18"/>
        </w:rPr>
        <w:t xml:space="preserve">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Совета директоров акционерного общества «Фонд национального благосостояния «Самрук-Қазына» от </w:t>
      </w:r>
      <w:r>
        <w:rPr>
          <w:rFonts w:ascii="Times New Roman" w:hAnsi="Times New Roman"/>
          <w:i/>
          <w:sz w:val="18"/>
          <w:szCs w:val="18"/>
        </w:rPr>
        <w:t xml:space="preserve">23 декабря </w:t>
      </w:r>
      <w:r w:rsidRPr="00CF4903">
        <w:rPr>
          <w:rFonts w:ascii="Times New Roman" w:hAnsi="Times New Roman"/>
          <w:i/>
          <w:sz w:val="18"/>
          <w:szCs w:val="18"/>
        </w:rPr>
        <w:t>2019 года №16</w:t>
      </w:r>
      <w:r>
        <w:rPr>
          <w:rFonts w:ascii="Times New Roman" w:hAnsi="Times New Roman"/>
          <w:i/>
          <w:sz w:val="18"/>
          <w:szCs w:val="18"/>
        </w:rPr>
        <w:t>6</w:t>
      </w:r>
    </w:p>
    <w:p w:rsidR="00B54BEE" w:rsidRPr="00CF4903" w:rsidRDefault="00B54BEE" w:rsidP="00B54BEE">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lastRenderedPageBreak/>
        <w:t>Тендерная документация доступна для просмотра зарегистрированным потенциальным поставщикам, уполномоченным представителям Заказчик</w:t>
      </w:r>
      <w:r>
        <w:rPr>
          <w:rFonts w:ascii="Times New Roman" w:hAnsi="Times New Roman"/>
          <w:sz w:val="20"/>
          <w:szCs w:val="20"/>
        </w:rPr>
        <w:t>а</w:t>
      </w:r>
      <w:r w:rsidRPr="00CF4903">
        <w:rPr>
          <w:rFonts w:ascii="Times New Roman" w:hAnsi="Times New Roman"/>
          <w:sz w:val="20"/>
          <w:szCs w:val="20"/>
        </w:rPr>
        <w:t>/</w:t>
      </w:r>
      <w:r>
        <w:rPr>
          <w:rFonts w:ascii="Times New Roman" w:hAnsi="Times New Roman"/>
          <w:sz w:val="20"/>
          <w:szCs w:val="20"/>
        </w:rPr>
        <w:t>О</w:t>
      </w:r>
      <w:r w:rsidRPr="00CF4903">
        <w:rPr>
          <w:rFonts w:ascii="Times New Roman" w:hAnsi="Times New Roman"/>
          <w:sz w:val="20"/>
          <w:szCs w:val="20"/>
        </w:rPr>
        <w:t xml:space="preserve">рганизатора закупок, Уполномоченному органу по вопросам осуществления закупок, Наблюдателям и ПК </w:t>
      </w:r>
      <w:proofErr w:type="gramStart"/>
      <w:r w:rsidRPr="00CF4903">
        <w:rPr>
          <w:rFonts w:ascii="Times New Roman" w:hAnsi="Times New Roman"/>
          <w:sz w:val="20"/>
          <w:szCs w:val="20"/>
        </w:rPr>
        <w:t>которой</w:t>
      </w:r>
      <w:proofErr w:type="gramEnd"/>
      <w:r w:rsidRPr="00CF4903">
        <w:rPr>
          <w:rFonts w:ascii="Times New Roman" w:hAnsi="Times New Roman"/>
          <w:sz w:val="20"/>
          <w:szCs w:val="20"/>
        </w:rPr>
        <w:t xml:space="preserve"> прямо или косвенно принадлежит Заказчик.</w:t>
      </w:r>
    </w:p>
    <w:p w:rsidR="00B54BEE" w:rsidRPr="00CF4903" w:rsidRDefault="00B54BEE" w:rsidP="00B54BEE">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Организатор закупок должен пригласить для участия в закупках в качестве Наблюдателей (без права голосования и принятия решения) представителей:</w:t>
      </w:r>
    </w:p>
    <w:p w:rsidR="00B54BEE" w:rsidRPr="00CF4903" w:rsidRDefault="00B54BEE" w:rsidP="00B54BEE">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общественных объединений и/или ассоциаций (союзов) при проведении тендеров на сумму свыше 75 (семидесяти пяти) миллионов тенге без учета НДС;</w:t>
      </w:r>
    </w:p>
    <w:p w:rsidR="00B54BEE" w:rsidRPr="00CF4903" w:rsidRDefault="00B54BEE" w:rsidP="00B54BEE">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НПП при проведении тендеров на сумму свыше 250 (двухсот пятидесяти) миллионов тенге без учета НДС.</w:t>
      </w:r>
    </w:p>
    <w:p w:rsidR="00B54BEE" w:rsidRPr="00CF4903" w:rsidRDefault="00B54BEE" w:rsidP="00B54BEE">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Зарегистрированные потенциальные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rsidR="00B54BEE" w:rsidRPr="00CF4903" w:rsidRDefault="00B54BEE" w:rsidP="00B54BEE">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При отсутствии замечаний к проекту тендерной документации </w:t>
      </w:r>
      <w:r>
        <w:rPr>
          <w:rFonts w:ascii="Times New Roman" w:hAnsi="Times New Roman"/>
          <w:sz w:val="20"/>
          <w:szCs w:val="20"/>
        </w:rPr>
        <w:t>О</w:t>
      </w:r>
      <w:r w:rsidRPr="00CF4903">
        <w:rPr>
          <w:rFonts w:ascii="Times New Roman" w:hAnsi="Times New Roman"/>
          <w:sz w:val="20"/>
          <w:szCs w:val="20"/>
        </w:rPr>
        <w:t xml:space="preserve">рганизатор закупок по истечению срока, предусмотренного пунктом 19 </w:t>
      </w:r>
      <w:r>
        <w:rPr>
          <w:rFonts w:ascii="Times New Roman" w:hAnsi="Times New Roman"/>
          <w:sz w:val="20"/>
          <w:szCs w:val="20"/>
        </w:rPr>
        <w:t xml:space="preserve">статьи 35 </w:t>
      </w:r>
      <w:r w:rsidRPr="00CF4903">
        <w:rPr>
          <w:rFonts w:ascii="Times New Roman" w:hAnsi="Times New Roman"/>
          <w:sz w:val="20"/>
          <w:szCs w:val="20"/>
        </w:rPr>
        <w:t>Стандарта, вправе принять решение об утверждении тендерной документации.</w:t>
      </w:r>
    </w:p>
    <w:p w:rsidR="00B54BEE" w:rsidRPr="00CF4903" w:rsidRDefault="00B54BEE" w:rsidP="00B54BEE">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xml:space="preserve"> наличия замечаний </w:t>
      </w:r>
      <w:r>
        <w:rPr>
          <w:rFonts w:ascii="Times New Roman" w:hAnsi="Times New Roman"/>
          <w:sz w:val="20"/>
          <w:szCs w:val="20"/>
        </w:rPr>
        <w:t>О</w:t>
      </w:r>
      <w:r w:rsidRPr="00CF4903">
        <w:rPr>
          <w:rFonts w:ascii="Times New Roman" w:hAnsi="Times New Roman"/>
          <w:sz w:val="20"/>
          <w:szCs w:val="20"/>
        </w:rPr>
        <w:t xml:space="preserve">рганизатор закупок в течение 2 (двух) рабочих дней со дня истечения срока, установленного в пункте 19 </w:t>
      </w:r>
      <w:r>
        <w:rPr>
          <w:rFonts w:ascii="Times New Roman" w:hAnsi="Times New Roman"/>
          <w:sz w:val="20"/>
          <w:szCs w:val="20"/>
        </w:rPr>
        <w:t xml:space="preserve">статьи 35 </w:t>
      </w:r>
      <w:r w:rsidRPr="00CF4903">
        <w:rPr>
          <w:rFonts w:ascii="Times New Roman" w:hAnsi="Times New Roman"/>
          <w:sz w:val="20"/>
          <w:szCs w:val="20"/>
        </w:rPr>
        <w:t>Стандарта, принимает одно из следующих решений:</w:t>
      </w:r>
    </w:p>
    <w:p w:rsidR="00B54BEE" w:rsidRPr="00CF4903" w:rsidRDefault="00B54BEE" w:rsidP="00B54BEE">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вносит изменения и/или дополнения в проект тендерной документации;</w:t>
      </w:r>
    </w:p>
    <w:p w:rsidR="00B54BEE" w:rsidRPr="00CF4903" w:rsidRDefault="00B54BEE" w:rsidP="00B54BEE">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отклоняет замечания к проекту тендерной документации с указанием обоснований причин их отклонения;</w:t>
      </w:r>
    </w:p>
    <w:p w:rsidR="00B54BEE" w:rsidRPr="00CF4903" w:rsidRDefault="00B54BEE" w:rsidP="00B54BEE">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дает разъяснения положений проекта тендерной документации.</w:t>
      </w:r>
    </w:p>
    <w:p w:rsidR="00B54BEE" w:rsidRPr="00CF4903" w:rsidRDefault="00B54BEE" w:rsidP="00B54BEE">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Решения, предусмотренные настоящим пунктом, оформляются протоколом предварительного обсуждения проекта тендерной документации, который утверждается уполномоченным лицом </w:t>
      </w:r>
      <w:r>
        <w:rPr>
          <w:rFonts w:ascii="Times New Roman" w:hAnsi="Times New Roman"/>
          <w:sz w:val="20"/>
          <w:szCs w:val="20"/>
        </w:rPr>
        <w:t>О</w:t>
      </w:r>
      <w:r w:rsidRPr="00CF4903">
        <w:rPr>
          <w:rFonts w:ascii="Times New Roman" w:hAnsi="Times New Roman"/>
          <w:sz w:val="20"/>
          <w:szCs w:val="20"/>
        </w:rPr>
        <w:t>рганизатора закупок и автоматически публикуется в Системе.</w:t>
      </w:r>
    </w:p>
    <w:p w:rsidR="00B54BEE" w:rsidRPr="00CF4903" w:rsidRDefault="00B54BEE" w:rsidP="00B54BEE">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о принятых решениях по ним.</w:t>
      </w:r>
    </w:p>
    <w:p w:rsidR="00B54BEE" w:rsidRPr="00CF4903" w:rsidRDefault="00B54BEE" w:rsidP="00B54BEE">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Описание и требуемые функциональные, технические, качественные, эксплуатационные характеристики закупаемых </w:t>
      </w:r>
      <w:proofErr w:type="gramStart"/>
      <w:r w:rsidRPr="00CF4903">
        <w:rPr>
          <w:rFonts w:ascii="Times New Roman" w:hAnsi="Times New Roman"/>
          <w:sz w:val="20"/>
          <w:szCs w:val="20"/>
        </w:rPr>
        <w:t>ТРУ</w:t>
      </w:r>
      <w:proofErr w:type="gramEnd"/>
      <w:r w:rsidRPr="00CF4903">
        <w:rPr>
          <w:rFonts w:ascii="Times New Roman" w:hAnsi="Times New Roman"/>
          <w:sz w:val="20"/>
          <w:szCs w:val="20"/>
        </w:rPr>
        <w:t xml:space="preserve"> указаны в </w:t>
      </w:r>
      <w:r>
        <w:rPr>
          <w:rFonts w:ascii="Times New Roman" w:hAnsi="Times New Roman"/>
          <w:sz w:val="20"/>
          <w:szCs w:val="20"/>
        </w:rPr>
        <w:t>т</w:t>
      </w:r>
      <w:r w:rsidRPr="00CF4903">
        <w:rPr>
          <w:rFonts w:ascii="Times New Roman" w:hAnsi="Times New Roman"/>
          <w:sz w:val="20"/>
          <w:szCs w:val="20"/>
        </w:rPr>
        <w:t>ехнической спецификации в Системе.</w:t>
      </w:r>
    </w:p>
    <w:p w:rsidR="008F7B6D" w:rsidRPr="008F7B6D" w:rsidRDefault="008F7B6D" w:rsidP="008F7B6D">
      <w:pPr>
        <w:spacing w:after="0" w:line="240" w:lineRule="auto"/>
        <w:contextualSpacing/>
        <w:rPr>
          <w:rFonts w:ascii="Times New Roman" w:hAnsi="Times New Roman"/>
          <w:b/>
          <w:bCs/>
          <w:iCs/>
          <w:sz w:val="20"/>
          <w:szCs w:val="20"/>
        </w:rPr>
      </w:pPr>
      <w:r w:rsidRPr="008F7B6D">
        <w:rPr>
          <w:rFonts w:ascii="Times New Roman" w:hAnsi="Times New Roman"/>
          <w:b/>
          <w:bCs/>
          <w:sz w:val="20"/>
          <w:szCs w:val="20"/>
        </w:rPr>
        <w:t xml:space="preserve">Закупки </w:t>
      </w:r>
      <w:r w:rsidRPr="008F7B6D">
        <w:rPr>
          <w:rFonts w:ascii="Times New Roman" w:hAnsi="Times New Roman"/>
          <w:b/>
          <w:bCs/>
          <w:iCs/>
          <w:sz w:val="20"/>
          <w:szCs w:val="20"/>
        </w:rPr>
        <w:t xml:space="preserve">товаров: </w:t>
      </w:r>
    </w:p>
    <w:tbl>
      <w:tblPr>
        <w:tblW w:w="107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4696"/>
        <w:gridCol w:w="1376"/>
        <w:gridCol w:w="764"/>
        <w:gridCol w:w="1598"/>
        <w:gridCol w:w="1599"/>
      </w:tblGrid>
      <w:tr w:rsidR="008F7B6D" w:rsidRPr="008F7B6D" w:rsidTr="002C47C1">
        <w:trPr>
          <w:trHeight w:val="438"/>
        </w:trPr>
        <w:tc>
          <w:tcPr>
            <w:tcW w:w="674" w:type="dxa"/>
            <w:tcBorders>
              <w:top w:val="single" w:sz="4" w:space="0" w:color="auto"/>
              <w:left w:val="single" w:sz="4" w:space="0" w:color="auto"/>
              <w:bottom w:val="single" w:sz="4" w:space="0" w:color="auto"/>
              <w:right w:val="single" w:sz="4" w:space="0" w:color="auto"/>
            </w:tcBorders>
            <w:vAlign w:val="center"/>
          </w:tcPr>
          <w:p w:rsidR="008F7B6D" w:rsidRPr="002C47C1" w:rsidRDefault="008F7B6D" w:rsidP="008F7B6D">
            <w:pPr>
              <w:spacing w:after="0" w:line="240" w:lineRule="auto"/>
              <w:contextualSpacing/>
              <w:jc w:val="center"/>
              <w:rPr>
                <w:rFonts w:ascii="Times New Roman" w:hAnsi="Times New Roman"/>
                <w:b/>
                <w:sz w:val="18"/>
                <w:szCs w:val="18"/>
              </w:rPr>
            </w:pPr>
            <w:r w:rsidRPr="002C47C1">
              <w:rPr>
                <w:rFonts w:ascii="Times New Roman" w:hAnsi="Times New Roman"/>
                <w:b/>
                <w:sz w:val="18"/>
                <w:szCs w:val="18"/>
              </w:rPr>
              <w:t>№ лота</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8F7B6D" w:rsidRPr="002C47C1" w:rsidRDefault="008F7B6D" w:rsidP="008F7B6D">
            <w:pPr>
              <w:spacing w:after="0" w:line="240" w:lineRule="auto"/>
              <w:contextualSpacing/>
              <w:jc w:val="center"/>
              <w:rPr>
                <w:rFonts w:ascii="Times New Roman" w:hAnsi="Times New Roman"/>
                <w:b/>
                <w:sz w:val="18"/>
                <w:szCs w:val="18"/>
              </w:rPr>
            </w:pPr>
            <w:r w:rsidRPr="002C47C1">
              <w:rPr>
                <w:rFonts w:ascii="Times New Roman" w:hAnsi="Times New Roman"/>
                <w:b/>
                <w:sz w:val="18"/>
                <w:szCs w:val="18"/>
              </w:rPr>
              <w:t>Наименование лота</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8F7B6D" w:rsidRPr="002C47C1" w:rsidRDefault="008F7B6D" w:rsidP="008F7B6D">
            <w:pPr>
              <w:spacing w:after="0" w:line="240" w:lineRule="auto"/>
              <w:contextualSpacing/>
              <w:jc w:val="center"/>
              <w:rPr>
                <w:rFonts w:ascii="Times New Roman" w:hAnsi="Times New Roman"/>
                <w:b/>
                <w:sz w:val="18"/>
                <w:szCs w:val="18"/>
              </w:rPr>
            </w:pPr>
            <w:proofErr w:type="spellStart"/>
            <w:r w:rsidRPr="002C47C1">
              <w:rPr>
                <w:rFonts w:ascii="Times New Roman" w:hAnsi="Times New Roman"/>
                <w:b/>
                <w:sz w:val="18"/>
                <w:szCs w:val="18"/>
              </w:rPr>
              <w:t>Ед</w:t>
            </w:r>
            <w:proofErr w:type="gramStart"/>
            <w:r w:rsidRPr="002C47C1">
              <w:rPr>
                <w:rFonts w:ascii="Times New Roman" w:hAnsi="Times New Roman"/>
                <w:b/>
                <w:sz w:val="18"/>
                <w:szCs w:val="18"/>
              </w:rPr>
              <w:t>.и</w:t>
            </w:r>
            <w:proofErr w:type="gramEnd"/>
            <w:r w:rsidRPr="002C47C1">
              <w:rPr>
                <w:rFonts w:ascii="Times New Roman" w:hAnsi="Times New Roman"/>
                <w:b/>
                <w:sz w:val="18"/>
                <w:szCs w:val="18"/>
              </w:rPr>
              <w:t>зм</w:t>
            </w:r>
            <w:proofErr w:type="spellEnd"/>
          </w:p>
        </w:tc>
        <w:tc>
          <w:tcPr>
            <w:tcW w:w="764" w:type="dxa"/>
            <w:tcBorders>
              <w:top w:val="single" w:sz="4" w:space="0" w:color="auto"/>
              <w:left w:val="single" w:sz="4" w:space="0" w:color="auto"/>
              <w:bottom w:val="single" w:sz="4" w:space="0" w:color="auto"/>
              <w:right w:val="single" w:sz="4" w:space="0" w:color="auto"/>
            </w:tcBorders>
            <w:vAlign w:val="center"/>
          </w:tcPr>
          <w:p w:rsidR="008F7B6D" w:rsidRPr="002C47C1" w:rsidRDefault="008F7B6D" w:rsidP="008F7B6D">
            <w:pPr>
              <w:spacing w:after="0" w:line="240" w:lineRule="auto"/>
              <w:contextualSpacing/>
              <w:jc w:val="center"/>
              <w:rPr>
                <w:rFonts w:ascii="Times New Roman" w:hAnsi="Times New Roman"/>
                <w:b/>
                <w:sz w:val="18"/>
                <w:szCs w:val="18"/>
              </w:rPr>
            </w:pPr>
            <w:r w:rsidRPr="002C47C1">
              <w:rPr>
                <w:rFonts w:ascii="Times New Roman" w:hAnsi="Times New Roman"/>
                <w:b/>
                <w:sz w:val="18"/>
                <w:szCs w:val="18"/>
              </w:rPr>
              <w:t>Кол-во</w:t>
            </w:r>
          </w:p>
        </w:tc>
        <w:tc>
          <w:tcPr>
            <w:tcW w:w="1598" w:type="dxa"/>
            <w:tcBorders>
              <w:top w:val="single" w:sz="4" w:space="0" w:color="auto"/>
              <w:left w:val="single" w:sz="4" w:space="0" w:color="auto"/>
              <w:bottom w:val="single" w:sz="4" w:space="0" w:color="auto"/>
              <w:right w:val="single" w:sz="4" w:space="0" w:color="auto"/>
            </w:tcBorders>
            <w:vAlign w:val="center"/>
          </w:tcPr>
          <w:p w:rsidR="008F7B6D" w:rsidRPr="002C47C1" w:rsidRDefault="008F7B6D" w:rsidP="008F7B6D">
            <w:pPr>
              <w:spacing w:after="0" w:line="240" w:lineRule="auto"/>
              <w:contextualSpacing/>
              <w:jc w:val="center"/>
              <w:rPr>
                <w:rFonts w:ascii="Times New Roman" w:hAnsi="Times New Roman"/>
                <w:b/>
                <w:sz w:val="18"/>
                <w:szCs w:val="18"/>
              </w:rPr>
            </w:pPr>
            <w:r w:rsidRPr="002C47C1">
              <w:rPr>
                <w:rFonts w:ascii="Times New Roman" w:hAnsi="Times New Roman"/>
                <w:b/>
                <w:sz w:val="18"/>
                <w:szCs w:val="18"/>
              </w:rPr>
              <w:t>Цена в тенге без учета НДС</w:t>
            </w:r>
          </w:p>
        </w:tc>
        <w:tc>
          <w:tcPr>
            <w:tcW w:w="1599" w:type="dxa"/>
            <w:tcBorders>
              <w:top w:val="single" w:sz="4" w:space="0" w:color="auto"/>
              <w:left w:val="single" w:sz="4" w:space="0" w:color="auto"/>
              <w:bottom w:val="single" w:sz="4" w:space="0" w:color="auto"/>
              <w:right w:val="single" w:sz="4" w:space="0" w:color="auto"/>
            </w:tcBorders>
            <w:vAlign w:val="center"/>
          </w:tcPr>
          <w:p w:rsidR="008F7B6D" w:rsidRPr="002C47C1" w:rsidRDefault="008F7B6D" w:rsidP="008F7B6D">
            <w:pPr>
              <w:spacing w:after="0" w:line="240" w:lineRule="auto"/>
              <w:contextualSpacing/>
              <w:jc w:val="center"/>
              <w:rPr>
                <w:rFonts w:ascii="Times New Roman" w:hAnsi="Times New Roman"/>
                <w:b/>
                <w:sz w:val="18"/>
                <w:szCs w:val="18"/>
              </w:rPr>
            </w:pPr>
            <w:r w:rsidRPr="002C47C1">
              <w:rPr>
                <w:rFonts w:ascii="Times New Roman" w:hAnsi="Times New Roman"/>
                <w:b/>
                <w:sz w:val="18"/>
                <w:szCs w:val="18"/>
              </w:rPr>
              <w:t>Сумма в тенге без учета НДС</w:t>
            </w:r>
          </w:p>
        </w:tc>
      </w:tr>
      <w:tr w:rsidR="0027078A" w:rsidRPr="008F7B6D" w:rsidTr="002C47C1">
        <w:trPr>
          <w:trHeight w:val="27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Розетка</w:t>
            </w:r>
          </w:p>
        </w:tc>
        <w:tc>
          <w:tcPr>
            <w:tcW w:w="1376" w:type="dxa"/>
            <w:vMerge w:val="restart"/>
            <w:tcBorders>
              <w:top w:val="single" w:sz="4" w:space="0" w:color="auto"/>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Штука</w:t>
            </w: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2</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1 206,12</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2 412,24</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2</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 xml:space="preserve">Реле </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4</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637,81</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2 551,24</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3</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 xml:space="preserve">Реле </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2</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1 246,18</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2 492,36</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4</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Реле мощности</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12</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112 347,53</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1 348 170,36</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5</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Реле тепловое</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8</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5 584,00</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44 672,00</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6</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Реле управления</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2</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7 410,00</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14 820,00</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7</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 xml:space="preserve">Реле </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14</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6 869,64</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96 174,96</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8</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 xml:space="preserve">Реле </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8</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16 710,59</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133 684,72</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9</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Реле управления</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10</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6 625,00</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66 250,00</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10</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Реле управления</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15</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4 090,32</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61 354,80</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11</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Контактор</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14</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1 447 433,02</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20 264 062,28</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12</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Контактор</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16</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1 361 230,74</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21 779 691,84</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13</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Контактор</w:t>
            </w:r>
          </w:p>
        </w:tc>
        <w:tc>
          <w:tcPr>
            <w:tcW w:w="1376" w:type="dxa"/>
            <w:vMerge/>
            <w:tcBorders>
              <w:left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2</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8 180,64</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16 361,28</w:t>
            </w:r>
          </w:p>
        </w:tc>
      </w:tr>
      <w:tr w:rsidR="0027078A" w:rsidRPr="008F7B6D" w:rsidTr="00C105DF">
        <w:trPr>
          <w:trHeight w:val="134"/>
        </w:trPr>
        <w:tc>
          <w:tcPr>
            <w:tcW w:w="67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rsidP="008F62A9">
            <w:pPr>
              <w:spacing w:after="0" w:line="240" w:lineRule="auto"/>
              <w:contextualSpacing/>
              <w:jc w:val="center"/>
              <w:rPr>
                <w:rFonts w:ascii="Times New Roman" w:hAnsi="Times New Roman"/>
                <w:sz w:val="16"/>
                <w:szCs w:val="16"/>
              </w:rPr>
            </w:pPr>
            <w:r w:rsidRPr="0027078A">
              <w:rPr>
                <w:rFonts w:ascii="Times New Roman" w:hAnsi="Times New Roman"/>
                <w:sz w:val="16"/>
                <w:szCs w:val="16"/>
              </w:rPr>
              <w:t>14</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Контактор</w:t>
            </w:r>
          </w:p>
        </w:tc>
        <w:tc>
          <w:tcPr>
            <w:tcW w:w="1376" w:type="dxa"/>
            <w:vMerge/>
            <w:tcBorders>
              <w:left w:val="single" w:sz="4" w:space="0" w:color="auto"/>
              <w:bottom w:val="single" w:sz="4" w:space="0" w:color="auto"/>
              <w:right w:val="single" w:sz="4" w:space="0" w:color="auto"/>
            </w:tcBorders>
            <w:shd w:val="clear" w:color="auto" w:fill="auto"/>
            <w:vAlign w:val="center"/>
          </w:tcPr>
          <w:p w:rsidR="0027078A" w:rsidRPr="0027078A" w:rsidRDefault="0027078A">
            <w:pPr>
              <w:jc w:val="center"/>
              <w:rPr>
                <w:rFonts w:ascii="Times New Roman" w:hAnsi="Times New Roman"/>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6</w:t>
            </w:r>
          </w:p>
        </w:tc>
        <w:tc>
          <w:tcPr>
            <w:tcW w:w="1598"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sz w:val="16"/>
                <w:szCs w:val="16"/>
              </w:rPr>
            </w:pPr>
            <w:r w:rsidRPr="0027078A">
              <w:rPr>
                <w:rFonts w:ascii="Times New Roman" w:hAnsi="Times New Roman"/>
                <w:sz w:val="16"/>
                <w:szCs w:val="16"/>
              </w:rPr>
              <w:t>144 900,00</w:t>
            </w:r>
          </w:p>
        </w:tc>
        <w:tc>
          <w:tcPr>
            <w:tcW w:w="1599" w:type="dxa"/>
            <w:tcBorders>
              <w:top w:val="single" w:sz="4" w:space="0" w:color="auto"/>
              <w:left w:val="single" w:sz="4" w:space="0" w:color="auto"/>
              <w:bottom w:val="single" w:sz="4" w:space="0" w:color="auto"/>
              <w:right w:val="single" w:sz="4" w:space="0" w:color="auto"/>
            </w:tcBorders>
            <w:vAlign w:val="center"/>
          </w:tcPr>
          <w:p w:rsidR="0027078A" w:rsidRPr="0027078A" w:rsidRDefault="0027078A">
            <w:pPr>
              <w:jc w:val="center"/>
              <w:rPr>
                <w:rFonts w:ascii="Times New Roman" w:hAnsi="Times New Roman"/>
                <w:b/>
                <w:bCs/>
                <w:sz w:val="16"/>
                <w:szCs w:val="16"/>
              </w:rPr>
            </w:pPr>
            <w:r w:rsidRPr="0027078A">
              <w:rPr>
                <w:rFonts w:ascii="Times New Roman" w:hAnsi="Times New Roman"/>
                <w:b/>
                <w:bCs/>
                <w:sz w:val="16"/>
                <w:szCs w:val="16"/>
              </w:rPr>
              <w:t>869 400,00</w:t>
            </w:r>
          </w:p>
        </w:tc>
      </w:tr>
    </w:tbl>
    <w:p w:rsidR="008F7B6D" w:rsidRPr="008F7B6D" w:rsidRDefault="00A343A2" w:rsidP="00B54BEE">
      <w:pPr>
        <w:spacing w:after="0" w:line="240" w:lineRule="auto"/>
        <w:contextualSpacing/>
        <w:rPr>
          <w:rFonts w:ascii="Times New Roman" w:hAnsi="Times New Roman"/>
          <w:sz w:val="20"/>
          <w:szCs w:val="20"/>
        </w:rPr>
      </w:pPr>
      <w:r>
        <w:rPr>
          <w:rFonts w:ascii="Times New Roman" w:hAnsi="Times New Roman"/>
          <w:b/>
          <w:bCs/>
          <w:sz w:val="20"/>
          <w:szCs w:val="20"/>
        </w:rPr>
        <w:t xml:space="preserve">           </w:t>
      </w:r>
      <w:r w:rsidR="008F7B6D" w:rsidRPr="008F7B6D">
        <w:rPr>
          <w:rFonts w:ascii="Times New Roman" w:hAnsi="Times New Roman"/>
          <w:b/>
          <w:bCs/>
          <w:sz w:val="20"/>
          <w:szCs w:val="20"/>
        </w:rPr>
        <w:t xml:space="preserve">Организатор закупок (Заказчик) </w:t>
      </w:r>
      <w:r w:rsidR="008F7B6D" w:rsidRPr="008F7B6D">
        <w:rPr>
          <w:rFonts w:ascii="Times New Roman" w:hAnsi="Times New Roman"/>
          <w:sz w:val="20"/>
          <w:szCs w:val="20"/>
        </w:rPr>
        <w:t>–</w:t>
      </w:r>
      <w:r w:rsidR="008F7B6D" w:rsidRPr="008F7B6D">
        <w:rPr>
          <w:rFonts w:ascii="Times New Roman" w:hAnsi="Times New Roman"/>
          <w:i/>
          <w:iCs/>
          <w:sz w:val="20"/>
          <w:szCs w:val="20"/>
        </w:rPr>
        <w:t xml:space="preserve"> </w:t>
      </w:r>
      <w:r w:rsidR="008F7B6D" w:rsidRPr="008F7B6D">
        <w:rPr>
          <w:rFonts w:ascii="Times New Roman" w:hAnsi="Times New Roman"/>
          <w:sz w:val="20"/>
          <w:szCs w:val="20"/>
        </w:rPr>
        <w:t xml:space="preserve">ТОО «Богатырь </w:t>
      </w:r>
      <w:proofErr w:type="spellStart"/>
      <w:r w:rsidR="008F7B6D" w:rsidRPr="008F7B6D">
        <w:rPr>
          <w:rFonts w:ascii="Times New Roman" w:hAnsi="Times New Roman"/>
          <w:sz w:val="20"/>
          <w:szCs w:val="20"/>
        </w:rPr>
        <w:t>Комир</w:t>
      </w:r>
      <w:proofErr w:type="spellEnd"/>
      <w:r w:rsidR="008F7B6D" w:rsidRPr="008F7B6D">
        <w:rPr>
          <w:rFonts w:ascii="Times New Roman" w:hAnsi="Times New Roman"/>
          <w:sz w:val="20"/>
          <w:szCs w:val="20"/>
        </w:rPr>
        <w:t xml:space="preserve">», 141209, Республика Казахстан, Павлодарская область, </w:t>
      </w:r>
      <w:proofErr w:type="gramStart"/>
      <w:r w:rsidR="008F7B6D" w:rsidRPr="008F7B6D">
        <w:rPr>
          <w:rFonts w:ascii="Times New Roman" w:hAnsi="Times New Roman"/>
          <w:sz w:val="20"/>
          <w:szCs w:val="20"/>
        </w:rPr>
        <w:t>г</w:t>
      </w:r>
      <w:proofErr w:type="gramEnd"/>
      <w:r w:rsidR="008F7B6D" w:rsidRPr="008F7B6D">
        <w:rPr>
          <w:rFonts w:ascii="Times New Roman" w:hAnsi="Times New Roman"/>
          <w:sz w:val="20"/>
          <w:szCs w:val="20"/>
        </w:rPr>
        <w:t xml:space="preserve">. Экибастуз, ул. </w:t>
      </w:r>
      <w:proofErr w:type="spellStart"/>
      <w:r w:rsidR="008F7B6D" w:rsidRPr="008F7B6D">
        <w:rPr>
          <w:rFonts w:ascii="Times New Roman" w:hAnsi="Times New Roman"/>
          <w:sz w:val="20"/>
          <w:szCs w:val="20"/>
        </w:rPr>
        <w:t>Бауыржан</w:t>
      </w:r>
      <w:proofErr w:type="spellEnd"/>
      <w:r w:rsidR="008F7B6D" w:rsidRPr="008F7B6D">
        <w:rPr>
          <w:rFonts w:ascii="Times New Roman" w:hAnsi="Times New Roman"/>
          <w:sz w:val="20"/>
          <w:szCs w:val="20"/>
        </w:rPr>
        <w:t xml:space="preserve"> </w:t>
      </w:r>
      <w:proofErr w:type="spellStart"/>
      <w:r w:rsidR="008F7B6D" w:rsidRPr="008F7B6D">
        <w:rPr>
          <w:rFonts w:ascii="Times New Roman" w:hAnsi="Times New Roman"/>
          <w:sz w:val="20"/>
          <w:szCs w:val="20"/>
        </w:rPr>
        <w:t>Момышулы</w:t>
      </w:r>
      <w:proofErr w:type="spellEnd"/>
      <w:r w:rsidR="008F7B6D" w:rsidRPr="008F7B6D">
        <w:rPr>
          <w:rFonts w:ascii="Times New Roman" w:hAnsi="Times New Roman"/>
          <w:sz w:val="20"/>
          <w:szCs w:val="20"/>
        </w:rPr>
        <w:t xml:space="preserve"> 23, РНН 451 600 022 999, БИН 970 340 000 843.</w:t>
      </w:r>
    </w:p>
    <w:p w:rsidR="00B54BEE" w:rsidRDefault="00B54BEE" w:rsidP="00B54BEE">
      <w:pPr>
        <w:spacing w:after="0" w:line="240" w:lineRule="auto"/>
        <w:contextualSpacing/>
        <w:rPr>
          <w:rFonts w:ascii="Times New Roman" w:hAnsi="Times New Roman"/>
          <w:b/>
          <w:bCs/>
          <w:sz w:val="20"/>
          <w:szCs w:val="20"/>
        </w:rPr>
      </w:pPr>
    </w:p>
    <w:p w:rsidR="008F7B6D" w:rsidRPr="008F7B6D" w:rsidRDefault="008F7B6D" w:rsidP="00B54BEE">
      <w:pPr>
        <w:spacing w:after="0" w:line="240" w:lineRule="auto"/>
        <w:contextualSpacing/>
        <w:rPr>
          <w:rFonts w:ascii="Times New Roman" w:hAnsi="Times New Roman"/>
          <w:b/>
          <w:bCs/>
          <w:sz w:val="20"/>
          <w:szCs w:val="20"/>
        </w:rPr>
      </w:pPr>
      <w:r w:rsidRPr="008F7B6D">
        <w:rPr>
          <w:rFonts w:ascii="Times New Roman" w:hAnsi="Times New Roman"/>
          <w:b/>
          <w:bCs/>
          <w:sz w:val="20"/>
          <w:szCs w:val="20"/>
        </w:rPr>
        <w:t xml:space="preserve">Банковские реквизиты ТОО «Богатырь </w:t>
      </w:r>
      <w:proofErr w:type="spellStart"/>
      <w:r w:rsidRPr="008F7B6D">
        <w:rPr>
          <w:rFonts w:ascii="Times New Roman" w:hAnsi="Times New Roman"/>
          <w:b/>
          <w:bCs/>
          <w:sz w:val="20"/>
          <w:szCs w:val="20"/>
        </w:rPr>
        <w:t>Комир</w:t>
      </w:r>
      <w:proofErr w:type="spellEnd"/>
      <w:r w:rsidRPr="008F7B6D">
        <w:rPr>
          <w:rFonts w:ascii="Times New Roman" w:hAnsi="Times New Roman"/>
          <w:b/>
          <w:bCs/>
          <w:sz w:val="20"/>
          <w:szCs w:val="20"/>
        </w:rPr>
        <w:t>»:</w:t>
      </w:r>
    </w:p>
    <w:p w:rsidR="008F7B6D" w:rsidRPr="008F7B6D" w:rsidRDefault="008F7B6D" w:rsidP="00B54BEE">
      <w:pPr>
        <w:numPr>
          <w:ilvl w:val="0"/>
          <w:numId w:val="17"/>
        </w:numPr>
        <w:spacing w:after="0" w:line="240" w:lineRule="auto"/>
        <w:contextualSpacing/>
        <w:rPr>
          <w:rFonts w:ascii="Times New Roman" w:hAnsi="Times New Roman"/>
          <w:b/>
          <w:bCs/>
          <w:iCs/>
          <w:sz w:val="20"/>
          <w:szCs w:val="20"/>
          <w:u w:val="single"/>
        </w:rPr>
      </w:pPr>
      <w:r w:rsidRPr="008F7B6D">
        <w:rPr>
          <w:rFonts w:ascii="Times New Roman" w:hAnsi="Times New Roman"/>
          <w:b/>
          <w:sz w:val="20"/>
          <w:szCs w:val="20"/>
          <w:u w:val="single"/>
        </w:rPr>
        <w:t xml:space="preserve">в </w:t>
      </w:r>
      <w:r w:rsidRPr="008F7B6D">
        <w:rPr>
          <w:rFonts w:ascii="Times New Roman" w:hAnsi="Times New Roman"/>
          <w:b/>
          <w:bCs/>
          <w:iCs/>
          <w:sz w:val="20"/>
          <w:szCs w:val="20"/>
          <w:u w:val="single"/>
        </w:rPr>
        <w:t xml:space="preserve">АО «Народный Банк Казахстана» </w:t>
      </w:r>
    </w:p>
    <w:p w:rsidR="008F7B6D" w:rsidRPr="008F7B6D" w:rsidRDefault="008F7B6D" w:rsidP="00B54BEE">
      <w:pPr>
        <w:spacing w:after="0" w:line="240" w:lineRule="auto"/>
        <w:contextualSpacing/>
        <w:rPr>
          <w:rFonts w:ascii="Times New Roman" w:hAnsi="Times New Roman"/>
          <w:bCs/>
          <w:iCs/>
          <w:sz w:val="20"/>
          <w:szCs w:val="20"/>
          <w:u w:val="single"/>
        </w:rPr>
      </w:pPr>
      <w:r w:rsidRPr="008F7B6D">
        <w:rPr>
          <w:rFonts w:ascii="Times New Roman" w:hAnsi="Times New Roman"/>
          <w:b/>
          <w:i/>
          <w:sz w:val="20"/>
          <w:szCs w:val="20"/>
          <w:u w:val="single"/>
        </w:rPr>
        <w:t xml:space="preserve">в казахстанских тенге </w:t>
      </w:r>
      <w:r w:rsidRPr="008F7B6D">
        <w:rPr>
          <w:rFonts w:ascii="Times New Roman" w:hAnsi="Times New Roman"/>
          <w:b/>
          <w:i/>
          <w:sz w:val="20"/>
          <w:szCs w:val="20"/>
        </w:rPr>
        <w:t xml:space="preserve"> </w:t>
      </w:r>
      <w:r w:rsidRPr="008F7B6D">
        <w:rPr>
          <w:rFonts w:ascii="Times New Roman" w:hAnsi="Times New Roman"/>
          <w:bCs/>
          <w:i/>
          <w:sz w:val="20"/>
          <w:szCs w:val="20"/>
        </w:rPr>
        <w:t>(</w:t>
      </w:r>
      <w:r w:rsidRPr="008F7B6D">
        <w:rPr>
          <w:rFonts w:ascii="Times New Roman" w:hAnsi="Times New Roman"/>
          <w:bCs/>
          <w:i/>
          <w:sz w:val="20"/>
          <w:szCs w:val="20"/>
          <w:lang w:val="en-US"/>
        </w:rPr>
        <w:t>KZT</w:t>
      </w:r>
      <w:r w:rsidRPr="008F7B6D">
        <w:rPr>
          <w:rFonts w:ascii="Times New Roman" w:hAnsi="Times New Roman"/>
          <w:bCs/>
          <w:i/>
          <w:sz w:val="20"/>
          <w:szCs w:val="20"/>
        </w:rPr>
        <w:t>)</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iCs/>
          <w:sz w:val="20"/>
          <w:szCs w:val="20"/>
        </w:rPr>
        <w:t xml:space="preserve">БИН 970340000843 </w:t>
      </w:r>
      <w:r w:rsidRPr="008F7B6D">
        <w:rPr>
          <w:rFonts w:ascii="Times New Roman" w:hAnsi="Times New Roman"/>
          <w:sz w:val="20"/>
          <w:szCs w:val="20"/>
        </w:rPr>
        <w:t xml:space="preserve">БИК </w:t>
      </w:r>
      <w:r w:rsidRPr="008F7B6D">
        <w:rPr>
          <w:rFonts w:ascii="Times New Roman" w:hAnsi="Times New Roman"/>
          <w:sz w:val="20"/>
          <w:szCs w:val="20"/>
          <w:lang w:val="en-US"/>
        </w:rPr>
        <w:t>HSBKKZKX</w:t>
      </w:r>
    </w:p>
    <w:p w:rsidR="008F7B6D" w:rsidRPr="008F7B6D" w:rsidRDefault="008F7B6D" w:rsidP="00B54BEE">
      <w:pPr>
        <w:numPr>
          <w:ilvl w:val="0"/>
          <w:numId w:val="18"/>
        </w:numPr>
        <w:spacing w:after="0" w:line="240" w:lineRule="auto"/>
        <w:contextualSpacing/>
        <w:rPr>
          <w:rFonts w:ascii="Times New Roman" w:hAnsi="Times New Roman"/>
          <w:bCs/>
          <w:iCs/>
          <w:sz w:val="20"/>
          <w:szCs w:val="20"/>
          <w:u w:val="single"/>
        </w:rPr>
      </w:pPr>
      <w:r w:rsidRPr="008F7B6D">
        <w:rPr>
          <w:rFonts w:ascii="Times New Roman" w:hAnsi="Times New Roman"/>
          <w:sz w:val="20"/>
          <w:szCs w:val="20"/>
          <w:lang w:val="en-US"/>
        </w:rPr>
        <w:t>IBAN</w:t>
      </w:r>
      <w:r w:rsidRPr="008F7B6D">
        <w:rPr>
          <w:rFonts w:ascii="Times New Roman" w:hAnsi="Times New Roman"/>
          <w:sz w:val="20"/>
          <w:szCs w:val="20"/>
        </w:rPr>
        <w:t xml:space="preserve"> </w:t>
      </w:r>
      <w:bookmarkStart w:id="1" w:name="OLE_LINK1"/>
      <w:r w:rsidRPr="008F7B6D">
        <w:rPr>
          <w:rFonts w:ascii="Times New Roman" w:hAnsi="Times New Roman"/>
          <w:sz w:val="20"/>
          <w:szCs w:val="20"/>
          <w:lang w:val="en-US"/>
        </w:rPr>
        <w:t>KZ</w:t>
      </w:r>
      <w:r w:rsidRPr="008F7B6D">
        <w:rPr>
          <w:rFonts w:ascii="Times New Roman" w:hAnsi="Times New Roman"/>
          <w:sz w:val="20"/>
          <w:szCs w:val="20"/>
        </w:rPr>
        <w:t>756010361000002513</w:t>
      </w:r>
      <w:bookmarkEnd w:id="1"/>
    </w:p>
    <w:p w:rsidR="008F7B6D" w:rsidRPr="008F7B6D" w:rsidRDefault="008F7B6D" w:rsidP="00B54BEE">
      <w:pPr>
        <w:numPr>
          <w:ilvl w:val="0"/>
          <w:numId w:val="18"/>
        </w:numPr>
        <w:spacing w:after="0" w:line="240" w:lineRule="auto"/>
        <w:contextualSpacing/>
        <w:rPr>
          <w:rFonts w:ascii="Times New Roman" w:hAnsi="Times New Roman"/>
          <w:bCs/>
          <w:iCs/>
          <w:sz w:val="20"/>
          <w:szCs w:val="20"/>
          <w:u w:val="single"/>
        </w:rPr>
      </w:pPr>
      <w:r w:rsidRPr="008F7B6D">
        <w:rPr>
          <w:rFonts w:ascii="Times New Roman" w:hAnsi="Times New Roman"/>
          <w:sz w:val="20"/>
          <w:szCs w:val="20"/>
          <w:lang w:val="en-US"/>
        </w:rPr>
        <w:t>IBAN</w:t>
      </w:r>
      <w:r w:rsidRPr="008F7B6D">
        <w:rPr>
          <w:rFonts w:ascii="Times New Roman" w:hAnsi="Times New Roman"/>
          <w:sz w:val="20"/>
          <w:szCs w:val="20"/>
        </w:rPr>
        <w:t xml:space="preserve"> </w:t>
      </w:r>
      <w:r w:rsidRPr="008F7B6D">
        <w:rPr>
          <w:rFonts w:ascii="Times New Roman" w:hAnsi="Times New Roman"/>
          <w:sz w:val="20"/>
          <w:szCs w:val="20"/>
          <w:lang w:val="en-US"/>
        </w:rPr>
        <w:t>KZ</w:t>
      </w:r>
      <w:r w:rsidRPr="008F7B6D">
        <w:rPr>
          <w:rFonts w:ascii="Times New Roman" w:hAnsi="Times New Roman"/>
          <w:sz w:val="20"/>
          <w:szCs w:val="20"/>
        </w:rPr>
        <w:t xml:space="preserve">166010361000287688     </w:t>
      </w:r>
    </w:p>
    <w:p w:rsidR="008F7B6D" w:rsidRPr="008F7B6D" w:rsidRDefault="008F7B6D" w:rsidP="00B54BEE">
      <w:pPr>
        <w:spacing w:after="0" w:line="240" w:lineRule="auto"/>
        <w:contextualSpacing/>
        <w:rPr>
          <w:rFonts w:ascii="Times New Roman" w:hAnsi="Times New Roman"/>
          <w:bCs/>
          <w:i/>
          <w:sz w:val="20"/>
          <w:szCs w:val="20"/>
        </w:rPr>
      </w:pPr>
      <w:r w:rsidRPr="008F7B6D">
        <w:rPr>
          <w:rFonts w:ascii="Times New Roman" w:hAnsi="Times New Roman"/>
          <w:b/>
          <w:i/>
          <w:sz w:val="20"/>
          <w:szCs w:val="20"/>
          <w:u w:val="single"/>
        </w:rPr>
        <w:t>в российских рублях</w:t>
      </w:r>
      <w:r w:rsidRPr="008F7B6D">
        <w:rPr>
          <w:rFonts w:ascii="Times New Roman" w:hAnsi="Times New Roman"/>
          <w:bCs/>
          <w:i/>
          <w:sz w:val="20"/>
          <w:szCs w:val="20"/>
        </w:rPr>
        <w:t xml:space="preserve">  (</w:t>
      </w:r>
      <w:r w:rsidRPr="008F7B6D">
        <w:rPr>
          <w:rFonts w:ascii="Times New Roman" w:hAnsi="Times New Roman"/>
          <w:bCs/>
          <w:i/>
          <w:sz w:val="20"/>
          <w:szCs w:val="20"/>
          <w:lang w:val="en-US"/>
        </w:rPr>
        <w:t>RUB</w:t>
      </w:r>
      <w:r w:rsidRPr="008F7B6D">
        <w:rPr>
          <w:rFonts w:ascii="Times New Roman" w:hAnsi="Times New Roman"/>
          <w:bCs/>
          <w:i/>
          <w:sz w:val="20"/>
          <w:szCs w:val="20"/>
        </w:rPr>
        <w:t>)</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iCs/>
          <w:sz w:val="20"/>
          <w:szCs w:val="20"/>
        </w:rPr>
        <w:t>Банк-корреспондент</w:t>
      </w:r>
      <w:r w:rsidRPr="008F7B6D">
        <w:rPr>
          <w:rFonts w:ascii="Times New Roman" w:hAnsi="Times New Roman"/>
          <w:sz w:val="20"/>
          <w:szCs w:val="20"/>
        </w:rPr>
        <w:t xml:space="preserve"> КБ «</w:t>
      </w:r>
      <w:proofErr w:type="spellStart"/>
      <w:r w:rsidRPr="008F7B6D">
        <w:rPr>
          <w:rFonts w:ascii="Times New Roman" w:hAnsi="Times New Roman"/>
          <w:sz w:val="20"/>
          <w:szCs w:val="20"/>
        </w:rPr>
        <w:t>Москоммерцбанк</w:t>
      </w:r>
      <w:proofErr w:type="spellEnd"/>
      <w:r w:rsidRPr="008F7B6D">
        <w:rPr>
          <w:rFonts w:ascii="Times New Roman" w:hAnsi="Times New Roman"/>
          <w:sz w:val="20"/>
          <w:szCs w:val="20"/>
        </w:rPr>
        <w:t xml:space="preserve">» (АО), г. Москва, Россия ИНН 9909108921 </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БИК 044525951 корр</w:t>
      </w:r>
      <w:proofErr w:type="gramStart"/>
      <w:r w:rsidRPr="008F7B6D">
        <w:rPr>
          <w:rFonts w:ascii="Times New Roman" w:hAnsi="Times New Roman"/>
          <w:sz w:val="20"/>
          <w:szCs w:val="20"/>
        </w:rPr>
        <w:t>.с</w:t>
      </w:r>
      <w:proofErr w:type="gramEnd"/>
      <w:r w:rsidRPr="008F7B6D">
        <w:rPr>
          <w:rFonts w:ascii="Times New Roman" w:hAnsi="Times New Roman"/>
          <w:sz w:val="20"/>
          <w:szCs w:val="20"/>
        </w:rPr>
        <w:t xml:space="preserve">чет 30101810045250000951 </w:t>
      </w:r>
    </w:p>
    <w:p w:rsidR="008F7B6D" w:rsidRPr="008F7B6D" w:rsidRDefault="008F7B6D" w:rsidP="00B54BEE">
      <w:pPr>
        <w:spacing w:after="0" w:line="240" w:lineRule="auto"/>
        <w:contextualSpacing/>
        <w:rPr>
          <w:rFonts w:ascii="Times New Roman" w:hAnsi="Times New Roman"/>
          <w:b/>
          <w:sz w:val="20"/>
          <w:szCs w:val="20"/>
        </w:rPr>
      </w:pPr>
      <w:r w:rsidRPr="008F7B6D">
        <w:rPr>
          <w:rFonts w:ascii="Times New Roman" w:hAnsi="Times New Roman"/>
          <w:bCs/>
          <w:sz w:val="20"/>
          <w:szCs w:val="20"/>
        </w:rPr>
        <w:t xml:space="preserve">Банк бенефициара: </w:t>
      </w:r>
      <w:r w:rsidRPr="008F7B6D">
        <w:rPr>
          <w:rFonts w:ascii="Times New Roman" w:hAnsi="Times New Roman"/>
          <w:sz w:val="20"/>
          <w:szCs w:val="20"/>
        </w:rPr>
        <w:t xml:space="preserve">АО «Народный Банк Казахстана» </w:t>
      </w:r>
      <w:proofErr w:type="spellStart"/>
      <w:r w:rsidRPr="008F7B6D">
        <w:rPr>
          <w:rFonts w:ascii="Times New Roman" w:hAnsi="Times New Roman"/>
          <w:sz w:val="20"/>
          <w:szCs w:val="20"/>
        </w:rPr>
        <w:t>г</w:t>
      </w:r>
      <w:proofErr w:type="gramStart"/>
      <w:r w:rsidRPr="008F7B6D">
        <w:rPr>
          <w:rFonts w:ascii="Times New Roman" w:hAnsi="Times New Roman"/>
          <w:sz w:val="20"/>
          <w:szCs w:val="20"/>
        </w:rPr>
        <w:t>.А</w:t>
      </w:r>
      <w:proofErr w:type="gramEnd"/>
      <w:r w:rsidRPr="008F7B6D">
        <w:rPr>
          <w:rFonts w:ascii="Times New Roman" w:hAnsi="Times New Roman"/>
          <w:sz w:val="20"/>
          <w:szCs w:val="20"/>
        </w:rPr>
        <w:t>лматы</w:t>
      </w:r>
      <w:proofErr w:type="spellEnd"/>
      <w:r w:rsidRPr="008F7B6D">
        <w:rPr>
          <w:rFonts w:ascii="Times New Roman" w:hAnsi="Times New Roman"/>
          <w:sz w:val="20"/>
          <w:szCs w:val="20"/>
        </w:rPr>
        <w:t>, Казахстан</w:t>
      </w:r>
      <w:r w:rsidRPr="008F7B6D">
        <w:rPr>
          <w:rFonts w:ascii="Times New Roman" w:hAnsi="Times New Roman"/>
          <w:b/>
          <w:sz w:val="20"/>
          <w:szCs w:val="20"/>
        </w:rPr>
        <w:t xml:space="preserve"> </w:t>
      </w:r>
      <w:r w:rsidRPr="008F7B6D">
        <w:rPr>
          <w:rFonts w:ascii="Times New Roman" w:hAnsi="Times New Roman"/>
          <w:sz w:val="20"/>
          <w:szCs w:val="20"/>
          <w:lang w:val="en-US"/>
        </w:rPr>
        <w:t>SWIFT</w:t>
      </w:r>
      <w:r w:rsidRPr="008F7B6D">
        <w:rPr>
          <w:rFonts w:ascii="Times New Roman" w:hAnsi="Times New Roman"/>
          <w:sz w:val="20"/>
          <w:szCs w:val="20"/>
        </w:rPr>
        <w:t xml:space="preserve">: </w:t>
      </w:r>
      <w:r w:rsidRPr="008F7B6D">
        <w:rPr>
          <w:rFonts w:ascii="Times New Roman" w:hAnsi="Times New Roman"/>
          <w:sz w:val="20"/>
          <w:szCs w:val="20"/>
          <w:lang w:val="en-US"/>
        </w:rPr>
        <w:t>HSBKKZKX</w:t>
      </w:r>
    </w:p>
    <w:p w:rsidR="008F7B6D" w:rsidRPr="008F7B6D" w:rsidRDefault="008F7B6D" w:rsidP="00B54BEE">
      <w:pPr>
        <w:spacing w:after="0" w:line="240" w:lineRule="auto"/>
        <w:contextualSpacing/>
        <w:rPr>
          <w:rFonts w:ascii="Times New Roman" w:hAnsi="Times New Roman"/>
          <w:b/>
          <w:sz w:val="20"/>
          <w:szCs w:val="20"/>
          <w:u w:val="single"/>
        </w:rPr>
      </w:pPr>
      <w:r w:rsidRPr="008F7B6D">
        <w:rPr>
          <w:rFonts w:ascii="Times New Roman" w:hAnsi="Times New Roman"/>
          <w:sz w:val="20"/>
          <w:szCs w:val="20"/>
        </w:rPr>
        <w:t>корр</w:t>
      </w:r>
      <w:proofErr w:type="gramStart"/>
      <w:r w:rsidRPr="008F7B6D">
        <w:rPr>
          <w:rFonts w:ascii="Times New Roman" w:hAnsi="Times New Roman"/>
          <w:sz w:val="20"/>
          <w:szCs w:val="20"/>
        </w:rPr>
        <w:t>.с</w:t>
      </w:r>
      <w:proofErr w:type="gramEnd"/>
      <w:r w:rsidRPr="008F7B6D">
        <w:rPr>
          <w:rFonts w:ascii="Times New Roman" w:hAnsi="Times New Roman"/>
          <w:sz w:val="20"/>
          <w:szCs w:val="20"/>
        </w:rPr>
        <w:t>чет 3011 1810 1000 0104 6516</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lastRenderedPageBreak/>
        <w:t xml:space="preserve">Бенефициар: ТОО «Богатырь </w:t>
      </w:r>
      <w:proofErr w:type="spellStart"/>
      <w:r w:rsidRPr="008F7B6D">
        <w:rPr>
          <w:rFonts w:ascii="Times New Roman" w:hAnsi="Times New Roman"/>
          <w:sz w:val="20"/>
          <w:szCs w:val="20"/>
        </w:rPr>
        <w:t>Комир</w:t>
      </w:r>
      <w:proofErr w:type="spellEnd"/>
      <w:r w:rsidRPr="008F7B6D">
        <w:rPr>
          <w:rFonts w:ascii="Times New Roman" w:hAnsi="Times New Roman"/>
          <w:sz w:val="20"/>
          <w:szCs w:val="20"/>
        </w:rPr>
        <w:t xml:space="preserve">»  </w:t>
      </w:r>
      <w:r w:rsidRPr="008F7B6D">
        <w:rPr>
          <w:rFonts w:ascii="Times New Roman" w:hAnsi="Times New Roman"/>
          <w:sz w:val="20"/>
          <w:szCs w:val="20"/>
          <w:lang w:val="en-US"/>
        </w:rPr>
        <w:t>IBAN</w:t>
      </w:r>
      <w:r w:rsidRPr="008F7B6D">
        <w:rPr>
          <w:rFonts w:ascii="Times New Roman" w:hAnsi="Times New Roman"/>
          <w:sz w:val="20"/>
          <w:szCs w:val="20"/>
        </w:rPr>
        <w:t xml:space="preserve"> </w:t>
      </w:r>
      <w:r w:rsidRPr="008F7B6D">
        <w:rPr>
          <w:rFonts w:ascii="Times New Roman" w:hAnsi="Times New Roman"/>
          <w:sz w:val="20"/>
          <w:szCs w:val="20"/>
          <w:lang w:val="en-US"/>
        </w:rPr>
        <w:t>KZ</w:t>
      </w:r>
      <w:r w:rsidRPr="008F7B6D">
        <w:rPr>
          <w:rFonts w:ascii="Times New Roman" w:hAnsi="Times New Roman"/>
          <w:sz w:val="20"/>
          <w:szCs w:val="20"/>
        </w:rPr>
        <w:t xml:space="preserve">216010361000287695   </w:t>
      </w:r>
    </w:p>
    <w:p w:rsidR="008F7B6D" w:rsidRPr="008F7B6D" w:rsidRDefault="008F7B6D" w:rsidP="00B54BEE">
      <w:pPr>
        <w:spacing w:after="0" w:line="240" w:lineRule="auto"/>
        <w:contextualSpacing/>
        <w:rPr>
          <w:rFonts w:ascii="Times New Roman" w:hAnsi="Times New Roman"/>
          <w:sz w:val="20"/>
          <w:szCs w:val="20"/>
        </w:rPr>
      </w:pPr>
    </w:p>
    <w:p w:rsidR="008F7B6D" w:rsidRPr="008F7B6D" w:rsidRDefault="008F7B6D" w:rsidP="00B54BEE">
      <w:pPr>
        <w:spacing w:after="0" w:line="240" w:lineRule="auto"/>
        <w:contextualSpacing/>
        <w:rPr>
          <w:rFonts w:ascii="Times New Roman" w:hAnsi="Times New Roman"/>
          <w:bCs/>
          <w:i/>
          <w:sz w:val="20"/>
          <w:szCs w:val="20"/>
          <w:lang w:val="en-US"/>
        </w:rPr>
      </w:pPr>
      <w:r w:rsidRPr="008F7B6D">
        <w:rPr>
          <w:rFonts w:ascii="Times New Roman" w:hAnsi="Times New Roman"/>
          <w:b/>
          <w:i/>
          <w:sz w:val="20"/>
          <w:szCs w:val="20"/>
          <w:u w:val="single"/>
        </w:rPr>
        <w:t>в</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ЕВРО</w:t>
      </w:r>
      <w:r w:rsidRPr="008F7B6D">
        <w:rPr>
          <w:rFonts w:ascii="Times New Roman" w:hAnsi="Times New Roman"/>
          <w:bCs/>
          <w:i/>
          <w:sz w:val="20"/>
          <w:szCs w:val="20"/>
          <w:lang w:val="en-US"/>
        </w:rPr>
        <w:t xml:space="preserve">  (EUR)</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Beneficiary’s Bank: JSC </w:t>
      </w:r>
      <w:proofErr w:type="spellStart"/>
      <w:r w:rsidRPr="008F7B6D">
        <w:rPr>
          <w:rFonts w:ascii="Times New Roman" w:hAnsi="Times New Roman"/>
          <w:sz w:val="20"/>
          <w:szCs w:val="20"/>
          <w:lang w:val="en-US"/>
        </w:rPr>
        <w:t>Halyk</w:t>
      </w:r>
      <w:proofErr w:type="spellEnd"/>
      <w:r w:rsidRPr="008F7B6D">
        <w:rPr>
          <w:rFonts w:ascii="Times New Roman" w:hAnsi="Times New Roman"/>
          <w:sz w:val="20"/>
          <w:szCs w:val="20"/>
          <w:lang w:val="en-US"/>
        </w:rPr>
        <w:t xml:space="preserve"> Bank of Kazakhstan, </w:t>
      </w:r>
      <w:proofErr w:type="spellStart"/>
      <w:r w:rsidRPr="008F7B6D">
        <w:rPr>
          <w:rFonts w:ascii="Times New Roman" w:hAnsi="Times New Roman"/>
          <w:sz w:val="20"/>
          <w:szCs w:val="20"/>
          <w:lang w:val="en-US"/>
        </w:rPr>
        <w:t>Almaty</w:t>
      </w:r>
      <w:proofErr w:type="spellEnd"/>
      <w:r w:rsidRPr="008F7B6D">
        <w:rPr>
          <w:rFonts w:ascii="Times New Roman" w:hAnsi="Times New Roman"/>
          <w:sz w:val="20"/>
          <w:szCs w:val="20"/>
          <w:lang w:val="en-US"/>
        </w:rPr>
        <w:t xml:space="preserve"> Kazakhstan SWIFT BIC: HSBKKZKX</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Correspondent Bank: COMMERZBANK AG, KAISERSTRASSE 16, FRANKFURT AM MAIN 1, GERMANY Corr. acc. 400886460501 SWIFT/ BIC: COBADEFFXXX</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 </w:t>
      </w:r>
      <w:proofErr w:type="spellStart"/>
      <w:r w:rsidRPr="008F7B6D">
        <w:rPr>
          <w:rFonts w:ascii="Times New Roman" w:hAnsi="Times New Roman"/>
          <w:sz w:val="20"/>
          <w:szCs w:val="20"/>
          <w:lang w:val="en-US"/>
        </w:rPr>
        <w:t>Bogatyr</w:t>
      </w:r>
      <w:proofErr w:type="spellEnd"/>
      <w:r w:rsidRPr="008F7B6D">
        <w:rPr>
          <w:rFonts w:ascii="Times New Roman" w:hAnsi="Times New Roman"/>
          <w:sz w:val="20"/>
          <w:szCs w:val="20"/>
          <w:lang w:val="en-US"/>
        </w:rPr>
        <w:t xml:space="preserve"> Coal LLP, </w:t>
      </w:r>
      <w:proofErr w:type="spellStart"/>
      <w:r w:rsidRPr="008F7B6D">
        <w:rPr>
          <w:rFonts w:ascii="Times New Roman" w:hAnsi="Times New Roman"/>
          <w:sz w:val="20"/>
          <w:szCs w:val="20"/>
          <w:lang w:val="en-US"/>
        </w:rPr>
        <w:t>Ekibastuz</w:t>
      </w:r>
      <w:proofErr w:type="spellEnd"/>
      <w:proofErr w:type="gramStart"/>
      <w:r w:rsidRPr="008F7B6D">
        <w:rPr>
          <w:rFonts w:ascii="Times New Roman" w:hAnsi="Times New Roman"/>
          <w:sz w:val="20"/>
          <w:szCs w:val="20"/>
          <w:lang w:val="en-US"/>
        </w:rPr>
        <w:t>,  IBAN</w:t>
      </w:r>
      <w:proofErr w:type="gramEnd"/>
      <w:r w:rsidRPr="008F7B6D">
        <w:rPr>
          <w:rFonts w:ascii="Times New Roman" w:hAnsi="Times New Roman"/>
          <w:sz w:val="20"/>
          <w:szCs w:val="20"/>
          <w:lang w:val="en-US"/>
        </w:rPr>
        <w:t xml:space="preserve"> KZ836010361000166396</w:t>
      </w:r>
    </w:p>
    <w:p w:rsidR="008F7B6D" w:rsidRPr="008F7B6D" w:rsidRDefault="008F7B6D" w:rsidP="00B54BEE">
      <w:pPr>
        <w:spacing w:after="0" w:line="240" w:lineRule="auto"/>
        <w:contextualSpacing/>
        <w:rPr>
          <w:rFonts w:ascii="Times New Roman" w:hAnsi="Times New Roman"/>
          <w:b/>
          <w:i/>
          <w:sz w:val="20"/>
          <w:szCs w:val="20"/>
          <w:u w:val="single"/>
          <w:lang w:val="en-US"/>
        </w:rPr>
      </w:pPr>
      <w:r w:rsidRPr="008F7B6D">
        <w:rPr>
          <w:rFonts w:ascii="Times New Roman" w:hAnsi="Times New Roman"/>
          <w:b/>
          <w:i/>
          <w:sz w:val="20"/>
          <w:szCs w:val="20"/>
          <w:u w:val="single"/>
        </w:rPr>
        <w:t>в</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долларах</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США</w:t>
      </w:r>
      <w:r w:rsidRPr="008F7B6D">
        <w:rPr>
          <w:rFonts w:ascii="Times New Roman" w:hAnsi="Times New Roman"/>
          <w:bCs/>
          <w:i/>
          <w:sz w:val="20"/>
          <w:szCs w:val="20"/>
          <w:lang w:val="en-US"/>
        </w:rPr>
        <w:t xml:space="preserve">  (USD)</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Beneficiary’s Bank: JSC </w:t>
      </w:r>
      <w:proofErr w:type="spellStart"/>
      <w:r w:rsidRPr="008F7B6D">
        <w:rPr>
          <w:rFonts w:ascii="Times New Roman" w:hAnsi="Times New Roman"/>
          <w:sz w:val="20"/>
          <w:szCs w:val="20"/>
          <w:lang w:val="en-US"/>
        </w:rPr>
        <w:t>Halyk</w:t>
      </w:r>
      <w:proofErr w:type="spellEnd"/>
      <w:r w:rsidRPr="008F7B6D">
        <w:rPr>
          <w:rFonts w:ascii="Times New Roman" w:hAnsi="Times New Roman"/>
          <w:sz w:val="20"/>
          <w:szCs w:val="20"/>
          <w:lang w:val="en-US"/>
        </w:rPr>
        <w:t xml:space="preserve"> Bank of Kazakhstan, </w:t>
      </w:r>
      <w:proofErr w:type="spellStart"/>
      <w:r w:rsidRPr="008F7B6D">
        <w:rPr>
          <w:rFonts w:ascii="Times New Roman" w:hAnsi="Times New Roman"/>
          <w:sz w:val="20"/>
          <w:szCs w:val="20"/>
          <w:lang w:val="en-US"/>
        </w:rPr>
        <w:t>Almaty</w:t>
      </w:r>
      <w:proofErr w:type="spellEnd"/>
      <w:r w:rsidRPr="008F7B6D">
        <w:rPr>
          <w:rFonts w:ascii="Times New Roman" w:hAnsi="Times New Roman"/>
          <w:sz w:val="20"/>
          <w:szCs w:val="20"/>
          <w:lang w:val="en-US"/>
        </w:rPr>
        <w:t xml:space="preserve"> Kazakhstan SWIFT BIC: HSBKKZKX  </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Correspondent Bank: THE BANK OF NEW YORK MELLON, NEW YORK, NY USA</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 acc. 8900372605 SWIFT BIC: IRVTUS3N</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 </w:t>
      </w:r>
      <w:proofErr w:type="spellStart"/>
      <w:r w:rsidRPr="008F7B6D">
        <w:rPr>
          <w:rFonts w:ascii="Times New Roman" w:hAnsi="Times New Roman"/>
          <w:sz w:val="20"/>
          <w:szCs w:val="20"/>
          <w:lang w:val="en-US"/>
        </w:rPr>
        <w:t>Bogatyr</w:t>
      </w:r>
      <w:proofErr w:type="spellEnd"/>
      <w:r w:rsidRPr="008F7B6D">
        <w:rPr>
          <w:rFonts w:ascii="Times New Roman" w:hAnsi="Times New Roman"/>
          <w:sz w:val="20"/>
          <w:szCs w:val="20"/>
          <w:lang w:val="en-US"/>
        </w:rPr>
        <w:t xml:space="preserve"> Coal LLP, </w:t>
      </w:r>
      <w:proofErr w:type="spellStart"/>
      <w:r w:rsidRPr="008F7B6D">
        <w:rPr>
          <w:rFonts w:ascii="Times New Roman" w:hAnsi="Times New Roman"/>
          <w:sz w:val="20"/>
          <w:szCs w:val="20"/>
          <w:lang w:val="en-US"/>
        </w:rPr>
        <w:t>Ekibastuz</w:t>
      </w:r>
      <w:proofErr w:type="spellEnd"/>
      <w:r w:rsidRPr="008F7B6D">
        <w:rPr>
          <w:rFonts w:ascii="Times New Roman" w:hAnsi="Times New Roman"/>
          <w:sz w:val="20"/>
          <w:szCs w:val="20"/>
          <w:lang w:val="en-US"/>
        </w:rPr>
        <w:t>, IBAN KZ836010361000005182</w:t>
      </w:r>
    </w:p>
    <w:p w:rsidR="008F7B6D" w:rsidRPr="008F7B6D" w:rsidRDefault="008F7B6D" w:rsidP="00B54BEE">
      <w:pPr>
        <w:spacing w:after="0" w:line="240" w:lineRule="auto"/>
        <w:contextualSpacing/>
        <w:rPr>
          <w:rFonts w:ascii="Times New Roman" w:hAnsi="Times New Roman"/>
          <w:sz w:val="20"/>
          <w:szCs w:val="20"/>
          <w:lang w:val="en-US"/>
        </w:rPr>
      </w:pPr>
    </w:p>
    <w:p w:rsidR="008F7B6D" w:rsidRPr="008F7B6D" w:rsidRDefault="008F7B6D" w:rsidP="00B54BEE">
      <w:pPr>
        <w:numPr>
          <w:ilvl w:val="0"/>
          <w:numId w:val="17"/>
        </w:numPr>
        <w:spacing w:after="0" w:line="240" w:lineRule="auto"/>
        <w:contextualSpacing/>
        <w:rPr>
          <w:rFonts w:ascii="Times New Roman" w:hAnsi="Times New Roman"/>
          <w:b/>
          <w:sz w:val="20"/>
          <w:szCs w:val="20"/>
          <w:u w:val="single"/>
        </w:rPr>
      </w:pPr>
      <w:r w:rsidRPr="008F7B6D">
        <w:rPr>
          <w:rFonts w:ascii="Times New Roman" w:hAnsi="Times New Roman"/>
          <w:b/>
          <w:sz w:val="20"/>
          <w:szCs w:val="20"/>
          <w:u w:val="single"/>
        </w:rPr>
        <w:t xml:space="preserve">в ДБ АО «Сбербанк» </w:t>
      </w:r>
      <w:r w:rsidRPr="008F7B6D">
        <w:rPr>
          <w:rFonts w:ascii="Times New Roman" w:hAnsi="Times New Roman"/>
          <w:b/>
          <w:sz w:val="20"/>
          <w:szCs w:val="20"/>
        </w:rPr>
        <w:t xml:space="preserve"> </w:t>
      </w:r>
    </w:p>
    <w:p w:rsidR="008F7B6D" w:rsidRPr="008F7B6D" w:rsidRDefault="008F7B6D" w:rsidP="00B54BEE">
      <w:pPr>
        <w:spacing w:after="0" w:line="240" w:lineRule="auto"/>
        <w:contextualSpacing/>
        <w:rPr>
          <w:rFonts w:ascii="Times New Roman" w:hAnsi="Times New Roman"/>
          <w:bCs/>
          <w:i/>
          <w:sz w:val="20"/>
          <w:szCs w:val="20"/>
        </w:rPr>
      </w:pPr>
      <w:r w:rsidRPr="008F7B6D">
        <w:rPr>
          <w:rFonts w:ascii="Times New Roman" w:hAnsi="Times New Roman"/>
          <w:b/>
          <w:i/>
          <w:sz w:val="20"/>
          <w:szCs w:val="20"/>
          <w:u w:val="single"/>
        </w:rPr>
        <w:t xml:space="preserve">в казахстанских тенге </w:t>
      </w:r>
      <w:r w:rsidRPr="008F7B6D">
        <w:rPr>
          <w:rFonts w:ascii="Times New Roman" w:hAnsi="Times New Roman"/>
          <w:b/>
          <w:i/>
          <w:sz w:val="20"/>
          <w:szCs w:val="20"/>
        </w:rPr>
        <w:t xml:space="preserve"> </w:t>
      </w:r>
      <w:r w:rsidRPr="008F7B6D">
        <w:rPr>
          <w:rFonts w:ascii="Times New Roman" w:hAnsi="Times New Roman"/>
          <w:bCs/>
          <w:i/>
          <w:sz w:val="20"/>
          <w:szCs w:val="20"/>
        </w:rPr>
        <w:t>(</w:t>
      </w:r>
      <w:r w:rsidRPr="008F7B6D">
        <w:rPr>
          <w:rFonts w:ascii="Times New Roman" w:hAnsi="Times New Roman"/>
          <w:bCs/>
          <w:i/>
          <w:sz w:val="20"/>
          <w:szCs w:val="20"/>
          <w:lang w:val="en-US"/>
        </w:rPr>
        <w:t>KZT</w:t>
      </w:r>
      <w:r w:rsidRPr="008F7B6D">
        <w:rPr>
          <w:rFonts w:ascii="Times New Roman" w:hAnsi="Times New Roman"/>
          <w:bCs/>
          <w:i/>
          <w:sz w:val="20"/>
          <w:szCs w:val="20"/>
        </w:rPr>
        <w:t>)</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iCs/>
          <w:sz w:val="20"/>
          <w:szCs w:val="20"/>
        </w:rPr>
        <w:t xml:space="preserve">БИН 970340000843 </w:t>
      </w:r>
      <w:r w:rsidRPr="008F7B6D">
        <w:rPr>
          <w:rFonts w:ascii="Times New Roman" w:hAnsi="Times New Roman"/>
          <w:sz w:val="20"/>
          <w:szCs w:val="20"/>
          <w:lang w:val="en-US"/>
        </w:rPr>
        <w:t>IBAN</w:t>
      </w:r>
      <w:r w:rsidRPr="008F7B6D">
        <w:rPr>
          <w:rFonts w:ascii="Times New Roman" w:hAnsi="Times New Roman"/>
          <w:sz w:val="20"/>
          <w:szCs w:val="20"/>
        </w:rPr>
        <w:t xml:space="preserve"> </w:t>
      </w:r>
      <w:r w:rsidRPr="008F7B6D">
        <w:rPr>
          <w:rFonts w:ascii="Times New Roman" w:hAnsi="Times New Roman"/>
          <w:sz w:val="20"/>
          <w:szCs w:val="20"/>
          <w:lang w:val="en-US"/>
        </w:rPr>
        <w:t>KZ</w:t>
      </w:r>
      <w:r w:rsidRPr="008F7B6D">
        <w:rPr>
          <w:rFonts w:ascii="Times New Roman" w:hAnsi="Times New Roman"/>
          <w:sz w:val="20"/>
          <w:szCs w:val="20"/>
        </w:rPr>
        <w:t>71914398414</w:t>
      </w:r>
      <w:r w:rsidRPr="008F7B6D">
        <w:rPr>
          <w:rFonts w:ascii="Times New Roman" w:hAnsi="Times New Roman"/>
          <w:sz w:val="20"/>
          <w:szCs w:val="20"/>
          <w:lang w:val="en-US"/>
        </w:rPr>
        <w:t>BC</w:t>
      </w:r>
      <w:r w:rsidRPr="008F7B6D">
        <w:rPr>
          <w:rFonts w:ascii="Times New Roman" w:hAnsi="Times New Roman"/>
          <w:sz w:val="20"/>
          <w:szCs w:val="20"/>
        </w:rPr>
        <w:t xml:space="preserve">01269  БИК </w:t>
      </w:r>
      <w:r w:rsidRPr="008F7B6D">
        <w:rPr>
          <w:rFonts w:ascii="Times New Roman" w:hAnsi="Times New Roman"/>
          <w:sz w:val="20"/>
          <w:szCs w:val="20"/>
          <w:lang w:val="en-US"/>
        </w:rPr>
        <w:t>SABRKZKA</w:t>
      </w:r>
      <w:r w:rsidRPr="008F7B6D">
        <w:rPr>
          <w:rFonts w:ascii="Times New Roman" w:hAnsi="Times New Roman"/>
          <w:sz w:val="20"/>
          <w:szCs w:val="20"/>
        </w:rPr>
        <w:t xml:space="preserve"> </w:t>
      </w:r>
    </w:p>
    <w:p w:rsidR="008F7B6D" w:rsidRPr="008F7B6D" w:rsidRDefault="008F7B6D" w:rsidP="00B54BEE">
      <w:pPr>
        <w:spacing w:after="0" w:line="240" w:lineRule="auto"/>
        <w:contextualSpacing/>
        <w:rPr>
          <w:rFonts w:ascii="Times New Roman" w:hAnsi="Times New Roman"/>
          <w:bCs/>
          <w:i/>
          <w:sz w:val="20"/>
          <w:szCs w:val="20"/>
        </w:rPr>
      </w:pPr>
      <w:r w:rsidRPr="008F7B6D">
        <w:rPr>
          <w:rFonts w:ascii="Times New Roman" w:hAnsi="Times New Roman"/>
          <w:b/>
          <w:i/>
          <w:sz w:val="20"/>
          <w:szCs w:val="20"/>
          <w:u w:val="single"/>
        </w:rPr>
        <w:t>в российских рублях</w:t>
      </w:r>
      <w:r w:rsidRPr="008F7B6D">
        <w:rPr>
          <w:rFonts w:ascii="Times New Roman" w:hAnsi="Times New Roman"/>
          <w:bCs/>
          <w:i/>
          <w:sz w:val="20"/>
          <w:szCs w:val="20"/>
        </w:rPr>
        <w:t xml:space="preserve">  (</w:t>
      </w:r>
      <w:r w:rsidRPr="008F7B6D">
        <w:rPr>
          <w:rFonts w:ascii="Times New Roman" w:hAnsi="Times New Roman"/>
          <w:bCs/>
          <w:i/>
          <w:sz w:val="20"/>
          <w:szCs w:val="20"/>
          <w:lang w:val="en-US"/>
        </w:rPr>
        <w:t>RUB</w:t>
      </w:r>
      <w:r w:rsidRPr="008F7B6D">
        <w:rPr>
          <w:rFonts w:ascii="Times New Roman" w:hAnsi="Times New Roman"/>
          <w:bCs/>
          <w:i/>
          <w:sz w:val="20"/>
          <w:szCs w:val="20"/>
        </w:rPr>
        <w:t>)</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iCs/>
          <w:sz w:val="20"/>
          <w:szCs w:val="20"/>
        </w:rPr>
        <w:t xml:space="preserve">Банк-корреспондент: </w:t>
      </w:r>
      <w:r w:rsidRPr="008F7B6D">
        <w:rPr>
          <w:rFonts w:ascii="Times New Roman" w:hAnsi="Times New Roman"/>
          <w:sz w:val="20"/>
          <w:szCs w:val="20"/>
        </w:rPr>
        <w:t>ПАО «</w:t>
      </w:r>
      <w:r w:rsidRPr="008F7B6D">
        <w:rPr>
          <w:rFonts w:ascii="Times New Roman" w:hAnsi="Times New Roman"/>
          <w:iCs/>
          <w:sz w:val="20"/>
          <w:szCs w:val="20"/>
        </w:rPr>
        <w:t>Сбербанк России»</w:t>
      </w:r>
      <w:r w:rsidRPr="008F7B6D">
        <w:rPr>
          <w:rFonts w:ascii="Times New Roman" w:hAnsi="Times New Roman"/>
          <w:sz w:val="20"/>
          <w:szCs w:val="20"/>
        </w:rPr>
        <w:t xml:space="preserve">  г</w:t>
      </w:r>
      <w:proofErr w:type="gramStart"/>
      <w:r w:rsidRPr="008F7B6D">
        <w:rPr>
          <w:rFonts w:ascii="Times New Roman" w:hAnsi="Times New Roman"/>
          <w:sz w:val="20"/>
          <w:szCs w:val="20"/>
        </w:rPr>
        <w:t>.М</w:t>
      </w:r>
      <w:proofErr w:type="gramEnd"/>
      <w:r w:rsidRPr="008F7B6D">
        <w:rPr>
          <w:rFonts w:ascii="Times New Roman" w:hAnsi="Times New Roman"/>
          <w:sz w:val="20"/>
          <w:szCs w:val="20"/>
        </w:rPr>
        <w:t>осква</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 xml:space="preserve">ИНН </w:t>
      </w:r>
      <w:r w:rsidRPr="008F7B6D">
        <w:rPr>
          <w:rFonts w:ascii="Times New Roman" w:hAnsi="Times New Roman"/>
          <w:bCs/>
          <w:sz w:val="20"/>
          <w:szCs w:val="20"/>
        </w:rPr>
        <w:t>7707083893</w:t>
      </w:r>
      <w:r w:rsidRPr="008F7B6D">
        <w:rPr>
          <w:rFonts w:ascii="Times New Roman" w:hAnsi="Times New Roman"/>
          <w:sz w:val="20"/>
          <w:szCs w:val="20"/>
        </w:rPr>
        <w:t xml:space="preserve">  БИК 044525225 корр</w:t>
      </w:r>
      <w:proofErr w:type="gramStart"/>
      <w:r w:rsidRPr="008F7B6D">
        <w:rPr>
          <w:rFonts w:ascii="Times New Roman" w:hAnsi="Times New Roman"/>
          <w:sz w:val="20"/>
          <w:szCs w:val="20"/>
        </w:rPr>
        <w:t>.с</w:t>
      </w:r>
      <w:proofErr w:type="gramEnd"/>
      <w:r w:rsidRPr="008F7B6D">
        <w:rPr>
          <w:rFonts w:ascii="Times New Roman" w:hAnsi="Times New Roman"/>
          <w:sz w:val="20"/>
          <w:szCs w:val="20"/>
        </w:rPr>
        <w:t>чет 3010 1810 4000 0000 0225</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В ОПЕРУ МГТУ Банка России</w:t>
      </w:r>
    </w:p>
    <w:p w:rsidR="008F7B6D" w:rsidRPr="008F7B6D" w:rsidRDefault="008F7B6D" w:rsidP="00B54BEE">
      <w:pPr>
        <w:spacing w:after="0" w:line="240" w:lineRule="auto"/>
        <w:contextualSpacing/>
        <w:rPr>
          <w:rFonts w:ascii="Times New Roman" w:hAnsi="Times New Roman"/>
          <w:b/>
          <w:sz w:val="20"/>
          <w:szCs w:val="20"/>
        </w:rPr>
      </w:pPr>
      <w:r w:rsidRPr="008F7B6D">
        <w:rPr>
          <w:rFonts w:ascii="Times New Roman" w:hAnsi="Times New Roman"/>
          <w:bCs/>
          <w:sz w:val="20"/>
          <w:szCs w:val="20"/>
        </w:rPr>
        <w:t xml:space="preserve">Банк бенефициара: </w:t>
      </w:r>
      <w:r w:rsidRPr="008F7B6D">
        <w:rPr>
          <w:rFonts w:ascii="Times New Roman" w:hAnsi="Times New Roman"/>
          <w:sz w:val="20"/>
          <w:szCs w:val="20"/>
        </w:rPr>
        <w:t xml:space="preserve">ДБ АО «Сбербанк» </w:t>
      </w:r>
      <w:proofErr w:type="spellStart"/>
      <w:r w:rsidRPr="008F7B6D">
        <w:rPr>
          <w:rFonts w:ascii="Times New Roman" w:hAnsi="Times New Roman"/>
          <w:sz w:val="20"/>
          <w:szCs w:val="20"/>
        </w:rPr>
        <w:t>г</w:t>
      </w:r>
      <w:proofErr w:type="gramStart"/>
      <w:r w:rsidRPr="008F7B6D">
        <w:rPr>
          <w:rFonts w:ascii="Times New Roman" w:hAnsi="Times New Roman"/>
          <w:sz w:val="20"/>
          <w:szCs w:val="20"/>
        </w:rPr>
        <w:t>.А</w:t>
      </w:r>
      <w:proofErr w:type="gramEnd"/>
      <w:r w:rsidRPr="008F7B6D">
        <w:rPr>
          <w:rFonts w:ascii="Times New Roman" w:hAnsi="Times New Roman"/>
          <w:sz w:val="20"/>
          <w:szCs w:val="20"/>
        </w:rPr>
        <w:t>лматы</w:t>
      </w:r>
      <w:proofErr w:type="spellEnd"/>
      <w:r w:rsidRPr="008F7B6D">
        <w:rPr>
          <w:rFonts w:ascii="Times New Roman" w:hAnsi="Times New Roman"/>
          <w:sz w:val="20"/>
          <w:szCs w:val="20"/>
        </w:rPr>
        <w:t xml:space="preserve">, Казахстан </w:t>
      </w:r>
      <w:r w:rsidRPr="008F7B6D">
        <w:rPr>
          <w:rFonts w:ascii="Times New Roman" w:hAnsi="Times New Roman"/>
          <w:sz w:val="20"/>
          <w:szCs w:val="20"/>
          <w:lang w:val="en-US"/>
        </w:rPr>
        <w:t>SWIFT</w:t>
      </w:r>
      <w:r w:rsidRPr="008F7B6D">
        <w:rPr>
          <w:rFonts w:ascii="Times New Roman" w:hAnsi="Times New Roman"/>
          <w:sz w:val="20"/>
          <w:szCs w:val="20"/>
        </w:rPr>
        <w:t xml:space="preserve">: </w:t>
      </w:r>
      <w:r w:rsidRPr="008F7B6D">
        <w:rPr>
          <w:rFonts w:ascii="Times New Roman" w:hAnsi="Times New Roman"/>
          <w:sz w:val="20"/>
          <w:szCs w:val="20"/>
          <w:lang w:val="en-US"/>
        </w:rPr>
        <w:t>SABRKZKA</w:t>
      </w:r>
    </w:p>
    <w:p w:rsidR="008F7B6D" w:rsidRPr="008F7B6D" w:rsidRDefault="008F7B6D" w:rsidP="00B54BEE">
      <w:pPr>
        <w:spacing w:after="0" w:line="240" w:lineRule="auto"/>
        <w:contextualSpacing/>
        <w:rPr>
          <w:rFonts w:ascii="Times New Roman" w:hAnsi="Times New Roman"/>
          <w:b/>
          <w:sz w:val="20"/>
          <w:szCs w:val="20"/>
          <w:u w:val="single"/>
        </w:rPr>
      </w:pPr>
      <w:r w:rsidRPr="008F7B6D">
        <w:rPr>
          <w:rFonts w:ascii="Times New Roman" w:hAnsi="Times New Roman"/>
          <w:sz w:val="20"/>
          <w:szCs w:val="20"/>
        </w:rPr>
        <w:t>корр</w:t>
      </w:r>
      <w:proofErr w:type="gramStart"/>
      <w:r w:rsidRPr="008F7B6D">
        <w:rPr>
          <w:rFonts w:ascii="Times New Roman" w:hAnsi="Times New Roman"/>
          <w:sz w:val="20"/>
          <w:szCs w:val="20"/>
        </w:rPr>
        <w:t>.с</w:t>
      </w:r>
      <w:proofErr w:type="gramEnd"/>
      <w:r w:rsidRPr="008F7B6D">
        <w:rPr>
          <w:rFonts w:ascii="Times New Roman" w:hAnsi="Times New Roman"/>
          <w:sz w:val="20"/>
          <w:szCs w:val="20"/>
        </w:rPr>
        <w:t>чет 3011 1810 1000 0000 0582</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 xml:space="preserve">Бенефициар: ТОО «Богатырь </w:t>
      </w:r>
      <w:proofErr w:type="spellStart"/>
      <w:r w:rsidRPr="008F7B6D">
        <w:rPr>
          <w:rFonts w:ascii="Times New Roman" w:hAnsi="Times New Roman"/>
          <w:sz w:val="20"/>
          <w:szCs w:val="20"/>
        </w:rPr>
        <w:t>Комир</w:t>
      </w:r>
      <w:proofErr w:type="spellEnd"/>
      <w:r w:rsidRPr="008F7B6D">
        <w:rPr>
          <w:rFonts w:ascii="Times New Roman" w:hAnsi="Times New Roman"/>
          <w:sz w:val="20"/>
          <w:szCs w:val="20"/>
        </w:rPr>
        <w:t xml:space="preserve">» </w:t>
      </w:r>
      <w:r w:rsidRPr="008F7B6D">
        <w:rPr>
          <w:rFonts w:ascii="Times New Roman" w:hAnsi="Times New Roman"/>
          <w:sz w:val="20"/>
          <w:szCs w:val="20"/>
          <w:lang w:val="en-US"/>
        </w:rPr>
        <w:t>IBAN</w:t>
      </w:r>
      <w:r w:rsidRPr="008F7B6D">
        <w:rPr>
          <w:rFonts w:ascii="Times New Roman" w:hAnsi="Times New Roman"/>
          <w:sz w:val="20"/>
          <w:szCs w:val="20"/>
        </w:rPr>
        <w:t xml:space="preserve"> </w:t>
      </w:r>
      <w:r w:rsidRPr="008F7B6D">
        <w:rPr>
          <w:rFonts w:ascii="Times New Roman" w:hAnsi="Times New Roman"/>
          <w:sz w:val="20"/>
          <w:szCs w:val="20"/>
          <w:lang w:val="en-US"/>
        </w:rPr>
        <w:t>KZ</w:t>
      </w:r>
      <w:r w:rsidRPr="008F7B6D">
        <w:rPr>
          <w:rFonts w:ascii="Times New Roman" w:hAnsi="Times New Roman"/>
          <w:sz w:val="20"/>
          <w:szCs w:val="20"/>
        </w:rPr>
        <w:t>18914643414</w:t>
      </w:r>
      <w:r w:rsidRPr="008F7B6D">
        <w:rPr>
          <w:rFonts w:ascii="Times New Roman" w:hAnsi="Times New Roman"/>
          <w:sz w:val="20"/>
          <w:szCs w:val="20"/>
          <w:lang w:val="en-US"/>
        </w:rPr>
        <w:t>BC</w:t>
      </w:r>
      <w:r w:rsidRPr="008F7B6D">
        <w:rPr>
          <w:rFonts w:ascii="Times New Roman" w:hAnsi="Times New Roman"/>
          <w:sz w:val="20"/>
          <w:szCs w:val="20"/>
        </w:rPr>
        <w:t>01516</w:t>
      </w:r>
    </w:p>
    <w:p w:rsidR="008F7B6D" w:rsidRPr="008F7B6D" w:rsidRDefault="008F7B6D" w:rsidP="00B54BEE">
      <w:pPr>
        <w:spacing w:after="0" w:line="240" w:lineRule="auto"/>
        <w:contextualSpacing/>
        <w:rPr>
          <w:rFonts w:ascii="Times New Roman" w:hAnsi="Times New Roman"/>
          <w:bCs/>
          <w:i/>
          <w:sz w:val="20"/>
          <w:szCs w:val="20"/>
          <w:lang w:val="en-US"/>
        </w:rPr>
      </w:pPr>
      <w:r w:rsidRPr="008F7B6D">
        <w:rPr>
          <w:rFonts w:ascii="Times New Roman" w:hAnsi="Times New Roman"/>
          <w:b/>
          <w:i/>
          <w:sz w:val="20"/>
          <w:szCs w:val="20"/>
          <w:u w:val="single"/>
        </w:rPr>
        <w:t>в</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ЕВРО</w:t>
      </w:r>
      <w:r w:rsidRPr="008F7B6D">
        <w:rPr>
          <w:rFonts w:ascii="Times New Roman" w:hAnsi="Times New Roman"/>
          <w:bCs/>
          <w:i/>
          <w:sz w:val="20"/>
          <w:szCs w:val="20"/>
          <w:lang w:val="en-US"/>
        </w:rPr>
        <w:t xml:space="preserve">  (EUR)</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Beneficiary’s Bank: SB SBERBANK JSC </w:t>
      </w:r>
      <w:proofErr w:type="spellStart"/>
      <w:r w:rsidRPr="008F7B6D">
        <w:rPr>
          <w:rFonts w:ascii="Times New Roman" w:hAnsi="Times New Roman"/>
          <w:sz w:val="20"/>
          <w:szCs w:val="20"/>
          <w:lang w:val="en-US"/>
        </w:rPr>
        <w:t>Almaty</w:t>
      </w:r>
      <w:proofErr w:type="spellEnd"/>
      <w:r w:rsidRPr="008F7B6D">
        <w:rPr>
          <w:rFonts w:ascii="Times New Roman" w:hAnsi="Times New Roman"/>
          <w:sz w:val="20"/>
          <w:szCs w:val="20"/>
          <w:lang w:val="en-US"/>
        </w:rPr>
        <w:t>, Kazakhstan SWIFT:  SABRKZKA</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Correspondent Bank: SBERBANK Moscow, Russia SWIFT: SABRRUMM</w:t>
      </w:r>
    </w:p>
    <w:p w:rsidR="008F7B6D" w:rsidRPr="008F7B6D" w:rsidRDefault="008F7B6D" w:rsidP="00B54BEE">
      <w:pPr>
        <w:spacing w:after="0" w:line="240" w:lineRule="auto"/>
        <w:contextualSpacing/>
        <w:rPr>
          <w:rFonts w:ascii="Times New Roman" w:hAnsi="Times New Roman"/>
          <w:sz w:val="20"/>
          <w:szCs w:val="20"/>
          <w:lang w:val="en-US"/>
        </w:rPr>
      </w:pPr>
      <w:proofErr w:type="gramStart"/>
      <w:r w:rsidRPr="008F7B6D">
        <w:rPr>
          <w:rFonts w:ascii="Times New Roman" w:hAnsi="Times New Roman"/>
          <w:sz w:val="20"/>
          <w:szCs w:val="20"/>
          <w:lang w:val="en-US"/>
        </w:rPr>
        <w:t>corr.acc.:</w:t>
      </w:r>
      <w:proofErr w:type="gramEnd"/>
      <w:r w:rsidRPr="008F7B6D">
        <w:rPr>
          <w:rFonts w:ascii="Times New Roman" w:hAnsi="Times New Roman"/>
          <w:sz w:val="20"/>
          <w:szCs w:val="20"/>
          <w:lang w:val="en-US"/>
        </w:rPr>
        <w:t xml:space="preserve"> 3011 1978 0000 </w:t>
      </w:r>
      <w:proofErr w:type="spellStart"/>
      <w:r w:rsidRPr="008F7B6D">
        <w:rPr>
          <w:rFonts w:ascii="Times New Roman" w:hAnsi="Times New Roman"/>
          <w:sz w:val="20"/>
          <w:szCs w:val="20"/>
          <w:lang w:val="en-US"/>
        </w:rPr>
        <w:t>0000</w:t>
      </w:r>
      <w:proofErr w:type="spellEnd"/>
      <w:r w:rsidRPr="008F7B6D">
        <w:rPr>
          <w:rFonts w:ascii="Times New Roman" w:hAnsi="Times New Roman"/>
          <w:sz w:val="20"/>
          <w:szCs w:val="20"/>
          <w:lang w:val="en-US"/>
        </w:rPr>
        <w:t xml:space="preserve"> 0582</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 </w:t>
      </w:r>
      <w:proofErr w:type="spellStart"/>
      <w:r w:rsidRPr="008F7B6D">
        <w:rPr>
          <w:rFonts w:ascii="Times New Roman" w:hAnsi="Times New Roman"/>
          <w:sz w:val="20"/>
          <w:szCs w:val="20"/>
          <w:lang w:val="en-US"/>
        </w:rPr>
        <w:t>Bogatyr</w:t>
      </w:r>
      <w:proofErr w:type="spellEnd"/>
      <w:r w:rsidRPr="008F7B6D">
        <w:rPr>
          <w:rFonts w:ascii="Times New Roman" w:hAnsi="Times New Roman"/>
          <w:sz w:val="20"/>
          <w:szCs w:val="20"/>
          <w:lang w:val="en-US"/>
        </w:rPr>
        <w:t xml:space="preserve"> Coal LLP, </w:t>
      </w:r>
      <w:proofErr w:type="spellStart"/>
      <w:r w:rsidRPr="008F7B6D">
        <w:rPr>
          <w:rFonts w:ascii="Times New Roman" w:hAnsi="Times New Roman"/>
          <w:sz w:val="20"/>
          <w:szCs w:val="20"/>
          <w:lang w:val="en-US"/>
        </w:rPr>
        <w:t>Ekibastuz</w:t>
      </w:r>
      <w:proofErr w:type="spellEnd"/>
      <w:r w:rsidRPr="008F7B6D">
        <w:rPr>
          <w:rFonts w:ascii="Times New Roman" w:hAnsi="Times New Roman"/>
          <w:sz w:val="20"/>
          <w:szCs w:val="20"/>
          <w:lang w:val="en-US"/>
        </w:rPr>
        <w:t>, IBAN KZ72914978414BC00672</w:t>
      </w:r>
    </w:p>
    <w:p w:rsidR="008F7B6D" w:rsidRPr="008F7B6D" w:rsidRDefault="008F7B6D" w:rsidP="00B54BEE">
      <w:pPr>
        <w:spacing w:after="0" w:line="240" w:lineRule="auto"/>
        <w:contextualSpacing/>
        <w:rPr>
          <w:rFonts w:ascii="Times New Roman" w:hAnsi="Times New Roman"/>
          <w:b/>
          <w:i/>
          <w:sz w:val="20"/>
          <w:szCs w:val="20"/>
          <w:u w:val="single"/>
          <w:lang w:val="en-US"/>
        </w:rPr>
      </w:pPr>
      <w:r w:rsidRPr="008F7B6D">
        <w:rPr>
          <w:rFonts w:ascii="Times New Roman" w:hAnsi="Times New Roman"/>
          <w:b/>
          <w:i/>
          <w:sz w:val="20"/>
          <w:szCs w:val="20"/>
          <w:u w:val="single"/>
        </w:rPr>
        <w:t>в</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долларах</w:t>
      </w:r>
      <w:r w:rsidRPr="008F7B6D">
        <w:rPr>
          <w:rFonts w:ascii="Times New Roman" w:hAnsi="Times New Roman"/>
          <w:b/>
          <w:i/>
          <w:sz w:val="20"/>
          <w:szCs w:val="20"/>
          <w:u w:val="single"/>
          <w:lang w:val="en-US"/>
        </w:rPr>
        <w:t xml:space="preserve"> </w:t>
      </w:r>
      <w:r w:rsidRPr="008F7B6D">
        <w:rPr>
          <w:rFonts w:ascii="Times New Roman" w:hAnsi="Times New Roman"/>
          <w:b/>
          <w:i/>
          <w:sz w:val="20"/>
          <w:szCs w:val="20"/>
          <w:u w:val="single"/>
        </w:rPr>
        <w:t>США</w:t>
      </w:r>
      <w:r w:rsidRPr="008F7B6D">
        <w:rPr>
          <w:rFonts w:ascii="Times New Roman" w:hAnsi="Times New Roman"/>
          <w:bCs/>
          <w:i/>
          <w:sz w:val="20"/>
          <w:szCs w:val="20"/>
          <w:lang w:val="en-US"/>
        </w:rPr>
        <w:t xml:space="preserve">  (USD)</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Beneficiary’s Bank: SB SBERBANK JSC </w:t>
      </w:r>
      <w:proofErr w:type="spellStart"/>
      <w:r w:rsidRPr="008F7B6D">
        <w:rPr>
          <w:rFonts w:ascii="Times New Roman" w:hAnsi="Times New Roman"/>
          <w:sz w:val="20"/>
          <w:szCs w:val="20"/>
          <w:lang w:val="en-US"/>
        </w:rPr>
        <w:t>Almaty</w:t>
      </w:r>
      <w:proofErr w:type="spellEnd"/>
      <w:r w:rsidRPr="008F7B6D">
        <w:rPr>
          <w:rFonts w:ascii="Times New Roman" w:hAnsi="Times New Roman"/>
          <w:sz w:val="20"/>
          <w:szCs w:val="20"/>
          <w:lang w:val="en-US"/>
        </w:rPr>
        <w:t>, Kazakhstan SWIFT:  SABRKZKA</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Correspondent Bank: SBERBANK Moscow, Russia SWIFT: SABRRUMM</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Corr.acc.3011 1840 4000 0000 0582</w:t>
      </w:r>
    </w:p>
    <w:p w:rsidR="008F7B6D" w:rsidRPr="008F7B6D" w:rsidRDefault="008F7B6D" w:rsidP="00B54BEE">
      <w:pPr>
        <w:spacing w:after="0" w:line="240" w:lineRule="auto"/>
        <w:contextualSpacing/>
        <w:rPr>
          <w:rFonts w:ascii="Times New Roman" w:hAnsi="Times New Roman"/>
          <w:sz w:val="20"/>
          <w:szCs w:val="20"/>
          <w:lang w:val="en-US"/>
        </w:rPr>
      </w:pPr>
      <w:r w:rsidRPr="008F7B6D">
        <w:rPr>
          <w:rFonts w:ascii="Times New Roman" w:hAnsi="Times New Roman"/>
          <w:sz w:val="20"/>
          <w:szCs w:val="20"/>
          <w:lang w:val="en-US"/>
        </w:rPr>
        <w:t xml:space="preserve">Beneficiary: </w:t>
      </w:r>
      <w:proofErr w:type="spellStart"/>
      <w:r w:rsidRPr="008F7B6D">
        <w:rPr>
          <w:rFonts w:ascii="Times New Roman" w:hAnsi="Times New Roman"/>
          <w:sz w:val="20"/>
          <w:szCs w:val="20"/>
          <w:lang w:val="en-US"/>
        </w:rPr>
        <w:t>Bogatyr</w:t>
      </w:r>
      <w:proofErr w:type="spellEnd"/>
      <w:r w:rsidRPr="008F7B6D">
        <w:rPr>
          <w:rFonts w:ascii="Times New Roman" w:hAnsi="Times New Roman"/>
          <w:sz w:val="20"/>
          <w:szCs w:val="20"/>
          <w:lang w:val="en-US"/>
        </w:rPr>
        <w:t xml:space="preserve"> Coal LLP, </w:t>
      </w:r>
      <w:proofErr w:type="spellStart"/>
      <w:r w:rsidRPr="008F7B6D">
        <w:rPr>
          <w:rFonts w:ascii="Times New Roman" w:hAnsi="Times New Roman"/>
          <w:sz w:val="20"/>
          <w:szCs w:val="20"/>
          <w:lang w:val="en-US"/>
        </w:rPr>
        <w:t>Ekibastuz</w:t>
      </w:r>
      <w:proofErr w:type="spellEnd"/>
      <w:r w:rsidRPr="008F7B6D">
        <w:rPr>
          <w:rFonts w:ascii="Times New Roman" w:hAnsi="Times New Roman"/>
          <w:sz w:val="20"/>
          <w:szCs w:val="20"/>
          <w:lang w:val="en-US"/>
        </w:rPr>
        <w:t>, IBAN KZ39914840414BC00697</w:t>
      </w:r>
    </w:p>
    <w:p w:rsidR="008F7B6D" w:rsidRPr="008F7B6D" w:rsidRDefault="008F7B6D" w:rsidP="00B54BEE">
      <w:pPr>
        <w:spacing w:after="0" w:line="240" w:lineRule="auto"/>
        <w:contextualSpacing/>
        <w:rPr>
          <w:rFonts w:ascii="Times New Roman" w:hAnsi="Times New Roman"/>
          <w:b/>
          <w:bCs/>
          <w:sz w:val="20"/>
          <w:szCs w:val="20"/>
          <w:lang w:val="en-US"/>
        </w:rPr>
      </w:pPr>
    </w:p>
    <w:p w:rsidR="008F7B6D" w:rsidRPr="008F7B6D" w:rsidRDefault="008F7B6D" w:rsidP="00B54BEE">
      <w:pPr>
        <w:spacing w:after="0" w:line="240" w:lineRule="auto"/>
        <w:contextualSpacing/>
        <w:rPr>
          <w:rFonts w:ascii="Times New Roman" w:hAnsi="Times New Roman"/>
          <w:i/>
          <w:iCs/>
          <w:sz w:val="20"/>
          <w:szCs w:val="20"/>
        </w:rPr>
      </w:pPr>
      <w:proofErr w:type="spellStart"/>
      <w:r w:rsidRPr="008F7B6D">
        <w:rPr>
          <w:rFonts w:ascii="Times New Roman" w:hAnsi="Times New Roman"/>
          <w:sz w:val="20"/>
          <w:szCs w:val="20"/>
        </w:rPr>
        <w:t>Веб-сайт</w:t>
      </w:r>
      <w:proofErr w:type="spellEnd"/>
      <w:r w:rsidRPr="008F7B6D">
        <w:rPr>
          <w:rFonts w:ascii="Times New Roman" w:hAnsi="Times New Roman"/>
          <w:sz w:val="20"/>
          <w:szCs w:val="20"/>
        </w:rPr>
        <w:t xml:space="preserve">, на </w:t>
      </w:r>
      <w:proofErr w:type="gramStart"/>
      <w:r w:rsidRPr="008F7B6D">
        <w:rPr>
          <w:rFonts w:ascii="Times New Roman" w:hAnsi="Times New Roman"/>
          <w:sz w:val="20"/>
          <w:szCs w:val="20"/>
        </w:rPr>
        <w:t>котором</w:t>
      </w:r>
      <w:proofErr w:type="gramEnd"/>
      <w:r w:rsidRPr="008F7B6D">
        <w:rPr>
          <w:rFonts w:ascii="Times New Roman" w:hAnsi="Times New Roman"/>
          <w:sz w:val="20"/>
          <w:szCs w:val="20"/>
        </w:rPr>
        <w:t xml:space="preserve"> размещена информация о проводимых закупках:</w:t>
      </w:r>
      <w:r w:rsidRPr="008F7B6D">
        <w:rPr>
          <w:rFonts w:ascii="Times New Roman" w:hAnsi="Times New Roman"/>
          <w:i/>
          <w:iCs/>
          <w:sz w:val="20"/>
          <w:szCs w:val="20"/>
        </w:rPr>
        <w:t xml:space="preserve"> </w:t>
      </w:r>
      <w:hyperlink r:id="rId9" w:history="1">
        <w:r w:rsidRPr="008F7B6D">
          <w:rPr>
            <w:rStyle w:val="a3"/>
            <w:rFonts w:ascii="Times New Roman" w:hAnsi="Times New Roman"/>
            <w:sz w:val="20"/>
            <w:szCs w:val="20"/>
            <w:lang w:val="en-US"/>
          </w:rPr>
          <w:t>www</w:t>
        </w:r>
        <w:r w:rsidRPr="008F7B6D">
          <w:rPr>
            <w:rStyle w:val="a3"/>
            <w:rFonts w:ascii="Times New Roman" w:hAnsi="Times New Roman"/>
            <w:sz w:val="20"/>
            <w:szCs w:val="20"/>
          </w:rPr>
          <w:t>.</w:t>
        </w:r>
        <w:proofErr w:type="spellStart"/>
        <w:r w:rsidRPr="008F7B6D">
          <w:rPr>
            <w:rStyle w:val="a3"/>
            <w:rFonts w:ascii="Times New Roman" w:hAnsi="Times New Roman"/>
            <w:sz w:val="20"/>
            <w:szCs w:val="20"/>
            <w:lang w:val="en-US"/>
          </w:rPr>
          <w:t>bogatyr</w:t>
        </w:r>
        <w:proofErr w:type="spellEnd"/>
        <w:r w:rsidRPr="008F7B6D">
          <w:rPr>
            <w:rStyle w:val="a3"/>
            <w:rFonts w:ascii="Times New Roman" w:hAnsi="Times New Roman"/>
            <w:sz w:val="20"/>
            <w:szCs w:val="20"/>
          </w:rPr>
          <w:t>.</w:t>
        </w:r>
        <w:proofErr w:type="spellStart"/>
        <w:r w:rsidRPr="008F7B6D">
          <w:rPr>
            <w:rStyle w:val="a3"/>
            <w:rFonts w:ascii="Times New Roman" w:hAnsi="Times New Roman"/>
            <w:sz w:val="20"/>
            <w:szCs w:val="20"/>
          </w:rPr>
          <w:t>kz</w:t>
        </w:r>
        <w:proofErr w:type="spellEnd"/>
      </w:hyperlink>
    </w:p>
    <w:p w:rsidR="008F7B6D" w:rsidRPr="008F7B6D" w:rsidRDefault="008F7B6D" w:rsidP="00B54BEE">
      <w:pPr>
        <w:spacing w:after="0" w:line="240" w:lineRule="auto"/>
        <w:contextualSpacing/>
        <w:rPr>
          <w:rFonts w:ascii="Times New Roman" w:hAnsi="Times New Roman"/>
          <w:b/>
          <w:bCs/>
          <w:sz w:val="20"/>
          <w:szCs w:val="20"/>
        </w:rPr>
      </w:pPr>
      <w:r w:rsidRPr="008F7B6D">
        <w:rPr>
          <w:rFonts w:ascii="Times New Roman" w:hAnsi="Times New Roman"/>
          <w:b/>
          <w:bCs/>
          <w:sz w:val="20"/>
          <w:szCs w:val="20"/>
        </w:rPr>
        <w:t xml:space="preserve">Адрес электронной почты и номера телефонов для обращения потенциальных поставщиков: </w:t>
      </w:r>
    </w:p>
    <w:p w:rsidR="008F7B6D" w:rsidRPr="008F7B6D" w:rsidRDefault="002B77A6" w:rsidP="00B54BEE">
      <w:pPr>
        <w:spacing w:after="0" w:line="240" w:lineRule="auto"/>
        <w:contextualSpacing/>
        <w:rPr>
          <w:rFonts w:ascii="Times New Roman" w:hAnsi="Times New Roman"/>
          <w:b/>
          <w:bCs/>
          <w:sz w:val="20"/>
          <w:szCs w:val="20"/>
        </w:rPr>
      </w:pPr>
      <w:proofErr w:type="spellStart"/>
      <w:r>
        <w:rPr>
          <w:rFonts w:ascii="Times New Roman" w:hAnsi="Times New Roman"/>
          <w:sz w:val="20"/>
          <w:szCs w:val="20"/>
          <w:lang w:val="en-US"/>
        </w:rPr>
        <w:t>Bogenbai</w:t>
      </w:r>
      <w:proofErr w:type="spellEnd"/>
      <w:r w:rsidRPr="002B77A6">
        <w:rPr>
          <w:rFonts w:ascii="Times New Roman" w:hAnsi="Times New Roman"/>
          <w:sz w:val="20"/>
          <w:szCs w:val="20"/>
        </w:rPr>
        <w:t>.</w:t>
      </w:r>
      <w:proofErr w:type="spellStart"/>
      <w:r>
        <w:rPr>
          <w:rFonts w:ascii="Times New Roman" w:hAnsi="Times New Roman"/>
          <w:sz w:val="20"/>
          <w:szCs w:val="20"/>
          <w:lang w:val="en-US"/>
        </w:rPr>
        <w:t>kuspekov</w:t>
      </w:r>
      <w:proofErr w:type="spellEnd"/>
      <w:r w:rsidR="008F7B6D" w:rsidRPr="008F7B6D">
        <w:rPr>
          <w:rFonts w:ascii="Times New Roman" w:hAnsi="Times New Roman"/>
          <w:sz w:val="20"/>
          <w:szCs w:val="20"/>
        </w:rPr>
        <w:t>@</w:t>
      </w:r>
      <w:proofErr w:type="spellStart"/>
      <w:r w:rsidR="008F7B6D" w:rsidRPr="008F7B6D">
        <w:rPr>
          <w:rFonts w:ascii="Times New Roman" w:hAnsi="Times New Roman"/>
          <w:sz w:val="20"/>
          <w:szCs w:val="20"/>
        </w:rPr>
        <w:t>bogatyr.kz</w:t>
      </w:r>
      <w:proofErr w:type="spellEnd"/>
      <w:proofErr w:type="gramStart"/>
      <w:r w:rsidR="008F7B6D" w:rsidRPr="008F7B6D">
        <w:rPr>
          <w:rFonts w:ascii="Times New Roman" w:hAnsi="Times New Roman"/>
          <w:b/>
          <w:bCs/>
          <w:sz w:val="20"/>
          <w:szCs w:val="20"/>
          <w:u w:val="single"/>
        </w:rPr>
        <w:t>,</w:t>
      </w:r>
      <w:r w:rsidR="008F7B6D" w:rsidRPr="008F7B6D">
        <w:rPr>
          <w:rFonts w:ascii="Times New Roman" w:hAnsi="Times New Roman"/>
          <w:b/>
          <w:bCs/>
          <w:sz w:val="20"/>
          <w:szCs w:val="20"/>
        </w:rPr>
        <w:t xml:space="preserve">  8</w:t>
      </w:r>
      <w:proofErr w:type="gramEnd"/>
      <w:r w:rsidR="008F7B6D" w:rsidRPr="008F7B6D">
        <w:rPr>
          <w:rFonts w:ascii="Times New Roman" w:hAnsi="Times New Roman"/>
          <w:b/>
          <w:bCs/>
          <w:sz w:val="20"/>
          <w:szCs w:val="20"/>
        </w:rPr>
        <w:t xml:space="preserve"> (7187) 22-3</w:t>
      </w:r>
      <w:r>
        <w:rPr>
          <w:rFonts w:ascii="Times New Roman" w:hAnsi="Times New Roman"/>
          <w:b/>
          <w:bCs/>
          <w:sz w:val="20"/>
          <w:szCs w:val="20"/>
        </w:rPr>
        <w:t>4</w:t>
      </w:r>
      <w:r w:rsidR="008F7B6D" w:rsidRPr="008F7B6D">
        <w:rPr>
          <w:rFonts w:ascii="Times New Roman" w:hAnsi="Times New Roman"/>
          <w:b/>
          <w:bCs/>
          <w:sz w:val="20"/>
          <w:szCs w:val="20"/>
        </w:rPr>
        <w:t>-</w:t>
      </w:r>
      <w:r>
        <w:rPr>
          <w:rFonts w:ascii="Times New Roman" w:hAnsi="Times New Roman"/>
          <w:b/>
          <w:bCs/>
          <w:sz w:val="20"/>
          <w:szCs w:val="20"/>
        </w:rPr>
        <w:t>7</w:t>
      </w:r>
      <w:r w:rsidR="008F7B6D" w:rsidRPr="008F7B6D">
        <w:rPr>
          <w:rFonts w:ascii="Times New Roman" w:hAnsi="Times New Roman"/>
          <w:b/>
          <w:bCs/>
          <w:sz w:val="20"/>
          <w:szCs w:val="20"/>
        </w:rPr>
        <w:t>2.</w:t>
      </w:r>
    </w:p>
    <w:p w:rsidR="008F7B6D" w:rsidRPr="008F7B6D" w:rsidRDefault="008F7B6D" w:rsidP="00B54BEE">
      <w:pPr>
        <w:spacing w:after="0" w:line="240" w:lineRule="auto"/>
        <w:contextualSpacing/>
        <w:rPr>
          <w:rFonts w:ascii="Times New Roman" w:hAnsi="Times New Roman"/>
          <w:b/>
          <w:bCs/>
          <w:sz w:val="20"/>
          <w:szCs w:val="20"/>
        </w:rPr>
      </w:pPr>
      <w:r w:rsidRPr="008F7B6D">
        <w:rPr>
          <w:rFonts w:ascii="Times New Roman" w:hAnsi="Times New Roman"/>
          <w:b/>
          <w:bCs/>
          <w:sz w:val="20"/>
          <w:szCs w:val="20"/>
        </w:rPr>
        <w:t>Базовые условия платежа:</w:t>
      </w:r>
    </w:p>
    <w:p w:rsid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sz w:val="20"/>
          <w:szCs w:val="20"/>
        </w:rPr>
        <w:t>Срок оплаты:</w:t>
      </w:r>
    </w:p>
    <w:p w:rsidR="008F7B6D" w:rsidRPr="008F7B6D" w:rsidRDefault="00B54BEE" w:rsidP="00B54BEE">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8F7B6D" w:rsidRPr="008F7B6D">
        <w:rPr>
          <w:rFonts w:ascii="Times New Roman" w:hAnsi="Times New Roman"/>
          <w:sz w:val="20"/>
          <w:szCs w:val="20"/>
        </w:rPr>
        <w:t>По лот</w:t>
      </w:r>
      <w:r w:rsidR="00BB386D">
        <w:rPr>
          <w:rFonts w:ascii="Times New Roman" w:hAnsi="Times New Roman"/>
          <w:sz w:val="20"/>
          <w:szCs w:val="20"/>
        </w:rPr>
        <w:t>ам</w:t>
      </w:r>
      <w:r w:rsidR="008F7B6D" w:rsidRPr="008F7B6D">
        <w:rPr>
          <w:rFonts w:ascii="Times New Roman" w:hAnsi="Times New Roman"/>
          <w:sz w:val="20"/>
          <w:szCs w:val="20"/>
        </w:rPr>
        <w:t xml:space="preserve"> № 1</w:t>
      </w:r>
      <w:r w:rsidR="00BB386D">
        <w:rPr>
          <w:rFonts w:ascii="Times New Roman" w:hAnsi="Times New Roman"/>
          <w:sz w:val="20"/>
          <w:szCs w:val="20"/>
        </w:rPr>
        <w:t>-14</w:t>
      </w:r>
      <w:r w:rsidR="008F7B6D" w:rsidRPr="008F7B6D">
        <w:rPr>
          <w:rFonts w:ascii="Times New Roman" w:hAnsi="Times New Roman"/>
          <w:sz w:val="20"/>
          <w:szCs w:val="20"/>
        </w:rPr>
        <w:t xml:space="preserve"> в течение 30 календарных дней по факту поставки и подписания соответствующих актов.</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b/>
          <w:bCs/>
          <w:sz w:val="20"/>
          <w:szCs w:val="20"/>
        </w:rPr>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8F7B6D">
        <w:rPr>
          <w:rFonts w:ascii="Times New Roman" w:hAnsi="Times New Roman"/>
          <w:sz w:val="20"/>
          <w:szCs w:val="20"/>
        </w:rPr>
        <w:t xml:space="preserve"> согласно Приложению № 1, № 2 к Тендерной документации.</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b/>
          <w:bCs/>
          <w:sz w:val="20"/>
          <w:szCs w:val="20"/>
        </w:rPr>
        <w:t xml:space="preserve">Описание и требуемые технические, качественные и эксплуатационные характеристики товара, предлагаемого Поставщиком: </w:t>
      </w:r>
      <w:r w:rsidRPr="008F7B6D">
        <w:rPr>
          <w:rFonts w:ascii="Times New Roman" w:hAnsi="Times New Roman"/>
          <w:sz w:val="20"/>
          <w:szCs w:val="20"/>
        </w:rPr>
        <w:t>согласно Приложениям № 1, № 2 к Тендерной документации.</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b/>
          <w:bCs/>
          <w:sz w:val="20"/>
          <w:szCs w:val="20"/>
        </w:rPr>
        <w:t>Размер обеспечения заявки на участие в тендере</w:t>
      </w:r>
      <w:r w:rsidRPr="008F7B6D">
        <w:rPr>
          <w:rFonts w:ascii="Times New Roman" w:hAnsi="Times New Roman"/>
          <w:i/>
          <w:iCs/>
          <w:sz w:val="20"/>
          <w:szCs w:val="20"/>
        </w:rPr>
        <w:t>:</w:t>
      </w:r>
      <w:r w:rsidRPr="008F7B6D">
        <w:rPr>
          <w:rFonts w:ascii="Times New Roman" w:hAnsi="Times New Roman"/>
          <w:b/>
          <w:bCs/>
          <w:sz w:val="20"/>
          <w:szCs w:val="20"/>
        </w:rPr>
        <w:t xml:space="preserve"> </w:t>
      </w:r>
      <w:r w:rsidRPr="008F7B6D">
        <w:rPr>
          <w:rFonts w:ascii="Times New Roman" w:hAnsi="Times New Roman"/>
          <w:sz w:val="20"/>
          <w:szCs w:val="20"/>
        </w:rPr>
        <w:t>1 (один) процент от суммы, выделенной на закупку товаров без учета НДС, вносится в виде платежного поручения или банковской гарантии.</w:t>
      </w:r>
    </w:p>
    <w:p w:rsidR="008F7B6D" w:rsidRPr="008F7B6D" w:rsidRDefault="008F7B6D" w:rsidP="00B54BEE">
      <w:pPr>
        <w:spacing w:after="0" w:line="240" w:lineRule="auto"/>
        <w:contextualSpacing/>
        <w:jc w:val="both"/>
        <w:rPr>
          <w:rFonts w:ascii="Times New Roman" w:hAnsi="Times New Roman"/>
          <w:b/>
          <w:bCs/>
          <w:sz w:val="20"/>
          <w:szCs w:val="20"/>
        </w:rPr>
      </w:pPr>
      <w:r w:rsidRPr="008F7B6D">
        <w:rPr>
          <w:rFonts w:ascii="Times New Roman" w:hAnsi="Times New Roman"/>
          <w:b/>
          <w:bCs/>
          <w:sz w:val="20"/>
          <w:szCs w:val="20"/>
        </w:rPr>
        <w:t>Обеспечение заявки на участие в тендере не вносится:</w:t>
      </w:r>
    </w:p>
    <w:p w:rsidR="008F7B6D" w:rsidRPr="008F7B6D" w:rsidRDefault="008F7B6D" w:rsidP="00B54BEE">
      <w:pPr>
        <w:numPr>
          <w:ilvl w:val="0"/>
          <w:numId w:val="19"/>
        </w:num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организациями, входящими в Холдинг;</w:t>
      </w:r>
    </w:p>
    <w:p w:rsidR="008F7B6D" w:rsidRPr="008F7B6D" w:rsidRDefault="008F7B6D" w:rsidP="00B54BEE">
      <w:pPr>
        <w:numPr>
          <w:ilvl w:val="0"/>
          <w:numId w:val="19"/>
        </w:num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организациями инвалидов (физическими лицами – инвалидами, осуществляющими предпринимательскую деятельность), состоящими в Реестре ОИН;</w:t>
      </w:r>
    </w:p>
    <w:p w:rsidR="008F7B6D" w:rsidRPr="008F7B6D" w:rsidRDefault="008F7B6D" w:rsidP="00B54BEE">
      <w:pPr>
        <w:numPr>
          <w:ilvl w:val="0"/>
          <w:numId w:val="19"/>
        </w:num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предварительно квалифицированными потенциальными поставщиками, прошедшими предварительный квалификационный отбор по закупаемым товарам, работам, услугам, и имеющими уровень соответствия по всем квалификационным критериям не ниже минимального;</w:t>
      </w:r>
    </w:p>
    <w:p w:rsidR="008F7B6D" w:rsidRPr="008F7B6D" w:rsidRDefault="008F7B6D" w:rsidP="00B54BEE">
      <w:pPr>
        <w:numPr>
          <w:ilvl w:val="0"/>
          <w:numId w:val="19"/>
        </w:num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квалифицированными потенциальными поставщиками;</w:t>
      </w:r>
    </w:p>
    <w:p w:rsidR="008F7B6D" w:rsidRPr="008F7B6D" w:rsidRDefault="008F7B6D" w:rsidP="00B54BEE">
      <w:pPr>
        <w:numPr>
          <w:ilvl w:val="0"/>
          <w:numId w:val="19"/>
        </w:num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товаропроизводителями закупаемого товара.</w:t>
      </w:r>
    </w:p>
    <w:p w:rsidR="008F7B6D" w:rsidRPr="008F7B6D" w:rsidRDefault="008F7B6D" w:rsidP="00B54BEE">
      <w:p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Положения подпунктов 1), 2) и 5) настоящего пункта не распространяются на консорциумы.</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b/>
          <w:bCs/>
          <w:sz w:val="20"/>
          <w:szCs w:val="20"/>
        </w:rPr>
        <w:t>Оригинал обеспечения заявки на участие в тендере</w:t>
      </w:r>
      <w:r w:rsidRPr="008F7B6D">
        <w:rPr>
          <w:rFonts w:ascii="Times New Roman" w:hAnsi="Times New Roman"/>
          <w:sz w:val="20"/>
          <w:szCs w:val="20"/>
        </w:rPr>
        <w:t xml:space="preserve"> </w:t>
      </w:r>
      <w:r w:rsidRPr="008F7B6D">
        <w:rPr>
          <w:rFonts w:ascii="Times New Roman" w:hAnsi="Times New Roman"/>
          <w:b/>
          <w:bCs/>
          <w:sz w:val="20"/>
          <w:szCs w:val="20"/>
        </w:rPr>
        <w:t>в виде банковской гарантии принимается по адресу:</w:t>
      </w:r>
      <w:r w:rsidRPr="008F7B6D">
        <w:rPr>
          <w:rFonts w:ascii="Times New Roman" w:hAnsi="Times New Roman"/>
          <w:sz w:val="20"/>
          <w:szCs w:val="20"/>
        </w:rPr>
        <w:t xml:space="preserve"> </w:t>
      </w:r>
      <w:proofErr w:type="gramStart"/>
      <w:r w:rsidRPr="008F7B6D">
        <w:rPr>
          <w:rFonts w:ascii="Times New Roman" w:hAnsi="Times New Roman"/>
          <w:sz w:val="20"/>
          <w:szCs w:val="20"/>
        </w:rPr>
        <w:t>г</w:t>
      </w:r>
      <w:proofErr w:type="gramEnd"/>
      <w:r w:rsidRPr="008F7B6D">
        <w:rPr>
          <w:rFonts w:ascii="Times New Roman" w:hAnsi="Times New Roman"/>
          <w:sz w:val="20"/>
          <w:szCs w:val="20"/>
        </w:rPr>
        <w:t xml:space="preserve">. Экибастуз, ул. </w:t>
      </w:r>
      <w:proofErr w:type="spellStart"/>
      <w:r w:rsidRPr="008F7B6D">
        <w:rPr>
          <w:rFonts w:ascii="Times New Roman" w:hAnsi="Times New Roman"/>
          <w:sz w:val="20"/>
          <w:szCs w:val="20"/>
        </w:rPr>
        <w:t>Бауыржан</w:t>
      </w:r>
      <w:proofErr w:type="spellEnd"/>
      <w:r w:rsidRPr="008F7B6D">
        <w:rPr>
          <w:rFonts w:ascii="Times New Roman" w:hAnsi="Times New Roman"/>
          <w:sz w:val="20"/>
          <w:szCs w:val="20"/>
        </w:rPr>
        <w:t xml:space="preserve"> </w:t>
      </w:r>
      <w:proofErr w:type="spellStart"/>
      <w:r w:rsidRPr="008F7B6D">
        <w:rPr>
          <w:rFonts w:ascii="Times New Roman" w:hAnsi="Times New Roman"/>
          <w:sz w:val="20"/>
          <w:szCs w:val="20"/>
        </w:rPr>
        <w:t>Момышулы</w:t>
      </w:r>
      <w:proofErr w:type="spellEnd"/>
      <w:r w:rsidRPr="008F7B6D">
        <w:rPr>
          <w:rFonts w:ascii="Times New Roman" w:hAnsi="Times New Roman"/>
          <w:sz w:val="20"/>
          <w:szCs w:val="20"/>
        </w:rPr>
        <w:t>, 23, каб.119 до окончательного срока представления обеспечения заявки.</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bCs/>
          <w:sz w:val="20"/>
          <w:szCs w:val="20"/>
        </w:rPr>
        <w:t xml:space="preserve">Расчет соответствия суммы внесенного обеспечения заявки на участие в тендере определяется </w:t>
      </w:r>
      <w:proofErr w:type="gramStart"/>
      <w:r w:rsidRPr="008F7B6D">
        <w:rPr>
          <w:rFonts w:ascii="Times New Roman" w:hAnsi="Times New Roman"/>
          <w:bCs/>
          <w:sz w:val="20"/>
          <w:szCs w:val="20"/>
        </w:rPr>
        <w:t>согласно курса</w:t>
      </w:r>
      <w:proofErr w:type="gramEnd"/>
      <w:r w:rsidRPr="008F7B6D">
        <w:rPr>
          <w:rFonts w:ascii="Times New Roman" w:hAnsi="Times New Roman"/>
          <w:bCs/>
          <w:sz w:val="20"/>
          <w:szCs w:val="20"/>
        </w:rPr>
        <w:t xml:space="preserve"> Национального Банка Республики Казахстан, установленного на дату перечисления платежа, выдачи банковской гарантии.</w:t>
      </w:r>
    </w:p>
    <w:p w:rsidR="008F7B6D" w:rsidRPr="008F7B6D" w:rsidRDefault="008F7B6D" w:rsidP="00B54BEE">
      <w:pPr>
        <w:spacing w:after="0" w:line="240" w:lineRule="auto"/>
        <w:contextualSpacing/>
        <w:jc w:val="both"/>
        <w:rPr>
          <w:rFonts w:ascii="Times New Roman" w:hAnsi="Times New Roman"/>
          <w:b/>
          <w:bCs/>
          <w:sz w:val="20"/>
          <w:szCs w:val="20"/>
        </w:rPr>
      </w:pPr>
      <w:r w:rsidRPr="008F7B6D">
        <w:rPr>
          <w:rFonts w:ascii="Times New Roman" w:hAnsi="Times New Roman"/>
          <w:b/>
          <w:bCs/>
          <w:sz w:val="20"/>
          <w:szCs w:val="20"/>
        </w:rPr>
        <w:t>Срок действия заявки на участие в тендере должен быть не менее 60 (шестидесяти) календарных дней.</w:t>
      </w:r>
    </w:p>
    <w:p w:rsidR="008F7B6D" w:rsidRPr="008F7B6D" w:rsidRDefault="008F7B6D" w:rsidP="00B54BEE">
      <w:pPr>
        <w:spacing w:after="0" w:line="240" w:lineRule="auto"/>
        <w:contextualSpacing/>
        <w:jc w:val="both"/>
        <w:rPr>
          <w:rFonts w:ascii="Times New Roman" w:hAnsi="Times New Roman"/>
          <w:bCs/>
          <w:sz w:val="20"/>
          <w:szCs w:val="20"/>
        </w:rPr>
      </w:pPr>
      <w:r w:rsidRPr="008F7B6D">
        <w:rPr>
          <w:rFonts w:ascii="Times New Roman" w:hAnsi="Times New Roman"/>
          <w:bCs/>
          <w:sz w:val="20"/>
          <w:szCs w:val="20"/>
        </w:rPr>
        <w:t>Течение срока действия обеспечения заявки на участие в тендере исчисляется со дня окончательного срока представления тендерной заявки.</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lastRenderedPageBreak/>
        <w:t xml:space="preserve"> Требования к потенциальным поставщикам</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sz w:val="20"/>
          <w:szCs w:val="20"/>
        </w:rPr>
        <w:t>Для участия в тендере потенциальный поставщик, должен соответствовать следующим квалификационным требованиям:</w:t>
      </w:r>
    </w:p>
    <w:p w:rsidR="008F7B6D" w:rsidRPr="008F7B6D" w:rsidRDefault="008F7B6D" w:rsidP="00B54BEE">
      <w:pPr>
        <w:numPr>
          <w:ilvl w:val="0"/>
          <w:numId w:val="16"/>
        </w:numPr>
        <w:tabs>
          <w:tab w:val="num" w:pos="900"/>
        </w:tabs>
        <w:spacing w:after="0" w:line="240" w:lineRule="auto"/>
        <w:contextualSpacing/>
        <w:jc w:val="both"/>
        <w:rPr>
          <w:rFonts w:ascii="Times New Roman" w:hAnsi="Times New Roman"/>
          <w:sz w:val="20"/>
          <w:szCs w:val="20"/>
        </w:rPr>
      </w:pPr>
      <w:r w:rsidRPr="008F7B6D">
        <w:rPr>
          <w:rFonts w:ascii="Times New Roman" w:hAnsi="Times New Roman"/>
          <w:sz w:val="20"/>
          <w:szCs w:val="20"/>
        </w:rPr>
        <w:t xml:space="preserve">обладать </w:t>
      </w:r>
      <w:hyperlink r:id="rId10" w:history="1">
        <w:r w:rsidRPr="008F7B6D">
          <w:rPr>
            <w:rStyle w:val="a3"/>
            <w:rFonts w:ascii="Times New Roman" w:hAnsi="Times New Roman"/>
            <w:sz w:val="20"/>
            <w:szCs w:val="20"/>
          </w:rPr>
          <w:t>правоспособностью</w:t>
        </w:r>
      </w:hyperlink>
      <w:r w:rsidRPr="008F7B6D">
        <w:rPr>
          <w:rFonts w:ascii="Times New Roman" w:hAnsi="Times New Roman"/>
          <w:sz w:val="20"/>
          <w:szCs w:val="20"/>
        </w:rPr>
        <w:t xml:space="preserve"> (для юридических лиц), </w:t>
      </w:r>
      <w:hyperlink r:id="rId11" w:history="1">
        <w:r w:rsidRPr="008F7B6D">
          <w:rPr>
            <w:rStyle w:val="a3"/>
            <w:rFonts w:ascii="Times New Roman" w:hAnsi="Times New Roman"/>
            <w:sz w:val="20"/>
            <w:szCs w:val="20"/>
          </w:rPr>
          <w:t>гражданской дееспособностью</w:t>
        </w:r>
      </w:hyperlink>
      <w:r w:rsidRPr="008F7B6D">
        <w:rPr>
          <w:rFonts w:ascii="Times New Roman" w:hAnsi="Times New Roman"/>
          <w:sz w:val="20"/>
          <w:szCs w:val="20"/>
        </w:rPr>
        <w:t xml:space="preserve"> (для физических лиц); </w:t>
      </w:r>
    </w:p>
    <w:p w:rsidR="008F7B6D" w:rsidRPr="008F7B6D" w:rsidRDefault="008F7B6D" w:rsidP="008F7B6D">
      <w:pPr>
        <w:spacing w:after="0" w:line="240" w:lineRule="auto"/>
        <w:contextualSpacing/>
        <w:jc w:val="center"/>
        <w:rPr>
          <w:rFonts w:ascii="Times New Roman" w:hAnsi="Times New Roman"/>
          <w:b/>
          <w:bCs/>
          <w:sz w:val="20"/>
          <w:szCs w:val="20"/>
        </w:rPr>
      </w:pP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 xml:space="preserve">Описание и требуемые функциональные, технические, качественные и эксплуатационные характеристики </w:t>
      </w:r>
      <w:proofErr w:type="gramStart"/>
      <w:r w:rsidRPr="008F7B6D">
        <w:rPr>
          <w:rFonts w:ascii="Times New Roman" w:hAnsi="Times New Roman"/>
          <w:b/>
          <w:bCs/>
          <w:sz w:val="20"/>
          <w:szCs w:val="20"/>
        </w:rPr>
        <w:t>закупаемых</w:t>
      </w:r>
      <w:proofErr w:type="gramEnd"/>
      <w:r w:rsidRPr="008F7B6D">
        <w:rPr>
          <w:rFonts w:ascii="Times New Roman" w:hAnsi="Times New Roman"/>
          <w:b/>
          <w:bCs/>
          <w:sz w:val="20"/>
          <w:szCs w:val="20"/>
        </w:rPr>
        <w:t xml:space="preserve"> ТРУ</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sz w:val="20"/>
          <w:szCs w:val="20"/>
        </w:rPr>
        <w:t xml:space="preserve">Описание и требуемые функциональные, технические, качественные, эксплуатационные характеристики закупаемых </w:t>
      </w:r>
      <w:proofErr w:type="gramStart"/>
      <w:r w:rsidRPr="008F7B6D">
        <w:rPr>
          <w:rFonts w:ascii="Times New Roman" w:hAnsi="Times New Roman"/>
          <w:sz w:val="20"/>
          <w:szCs w:val="20"/>
        </w:rPr>
        <w:t>ТРУ</w:t>
      </w:r>
      <w:proofErr w:type="gramEnd"/>
      <w:r w:rsidRPr="008F7B6D">
        <w:rPr>
          <w:rFonts w:ascii="Times New Roman" w:hAnsi="Times New Roman"/>
          <w:sz w:val="20"/>
          <w:szCs w:val="20"/>
        </w:rPr>
        <w:t xml:space="preserve"> указаны в Технической спецификации.</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Требования о предоставлении разрешения (лицензии)</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Требование к предоставлению сведений о марке/модели, наименовании производителя и стране происхождения товара</w:t>
      </w:r>
    </w:p>
    <w:p w:rsidR="008F7B6D" w:rsidRPr="008F7B6D" w:rsidRDefault="008F7B6D" w:rsidP="00B54BEE">
      <w:pPr>
        <w:spacing w:after="0" w:line="240" w:lineRule="auto"/>
        <w:contextualSpacing/>
        <w:jc w:val="both"/>
        <w:rPr>
          <w:rFonts w:ascii="Times New Roman" w:hAnsi="Times New Roman"/>
          <w:sz w:val="20"/>
          <w:szCs w:val="20"/>
        </w:rPr>
      </w:pPr>
      <w:r w:rsidRPr="008F7B6D">
        <w:rPr>
          <w:rFonts w:ascii="Times New Roman" w:hAnsi="Times New Roman"/>
          <w:sz w:val="20"/>
          <w:szCs w:val="20"/>
        </w:rPr>
        <w:t>Требуется предоставление сведений о марке/модели, наименовании производителя и стране происхождения товара.</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Технические стандарты</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Нормативно-техническая документация</w:t>
      </w:r>
    </w:p>
    <w:p w:rsidR="008F7B6D" w:rsidRPr="008F7B6D" w:rsidRDefault="008F7B6D" w:rsidP="00B54BEE">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8F7B6D" w:rsidRPr="008F7B6D" w:rsidRDefault="008F7B6D" w:rsidP="008F7B6D">
      <w:pPr>
        <w:spacing w:after="0" w:line="240" w:lineRule="auto"/>
        <w:contextualSpacing/>
        <w:jc w:val="center"/>
        <w:rPr>
          <w:rFonts w:ascii="Times New Roman" w:hAnsi="Times New Roman"/>
          <w:sz w:val="20"/>
          <w:szCs w:val="20"/>
        </w:rPr>
      </w:pP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Требование о предоставлении потенциальными поставщиками образцов закупаемых товаров</w:t>
      </w:r>
    </w:p>
    <w:p w:rsidR="008F7B6D" w:rsidRPr="008F7B6D" w:rsidRDefault="008F7B6D" w:rsidP="00C249C8">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8F7B6D" w:rsidRPr="008F7B6D" w:rsidRDefault="008F7B6D" w:rsidP="008F7B6D">
      <w:pPr>
        <w:spacing w:after="0" w:line="240" w:lineRule="auto"/>
        <w:contextualSpacing/>
        <w:jc w:val="center"/>
        <w:rPr>
          <w:rFonts w:ascii="Times New Roman" w:hAnsi="Times New Roman"/>
          <w:sz w:val="20"/>
          <w:szCs w:val="20"/>
        </w:rPr>
      </w:pPr>
    </w:p>
    <w:p w:rsidR="008F7B6D" w:rsidRPr="008F7B6D" w:rsidRDefault="008F7B6D" w:rsidP="008F7B6D">
      <w:pPr>
        <w:spacing w:after="0" w:line="240" w:lineRule="auto"/>
        <w:contextualSpacing/>
        <w:jc w:val="center"/>
        <w:rPr>
          <w:rFonts w:ascii="Times New Roman" w:hAnsi="Times New Roman"/>
          <w:b/>
          <w:bCs/>
          <w:sz w:val="20"/>
          <w:szCs w:val="20"/>
        </w:rPr>
      </w:pPr>
      <w:r w:rsidRPr="008F7B6D">
        <w:rPr>
          <w:rFonts w:ascii="Times New Roman" w:hAnsi="Times New Roman"/>
          <w:b/>
          <w:bCs/>
          <w:sz w:val="20"/>
          <w:szCs w:val="20"/>
        </w:rPr>
        <w:t>Обязательные требования, предусмотренные законодательством Республики Казахстан</w:t>
      </w:r>
    </w:p>
    <w:p w:rsidR="008F7B6D" w:rsidRPr="008F7B6D" w:rsidRDefault="008F7B6D" w:rsidP="00C249C8">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8F7B6D" w:rsidRPr="008F7B6D" w:rsidRDefault="008F7B6D" w:rsidP="008F7B6D">
      <w:pPr>
        <w:spacing w:after="0" w:line="240" w:lineRule="auto"/>
        <w:contextualSpacing/>
        <w:jc w:val="center"/>
        <w:rPr>
          <w:rFonts w:ascii="Times New Roman" w:hAnsi="Times New Roman"/>
          <w:b/>
          <w:bCs/>
          <w:sz w:val="20"/>
          <w:szCs w:val="20"/>
        </w:rPr>
      </w:pPr>
    </w:p>
    <w:p w:rsidR="00D81742" w:rsidRPr="00476EAC" w:rsidRDefault="00D81742" w:rsidP="00DE432E">
      <w:pPr>
        <w:spacing w:after="0" w:line="240" w:lineRule="auto"/>
        <w:contextualSpacing/>
        <w:jc w:val="center"/>
        <w:rPr>
          <w:rFonts w:ascii="Times New Roman" w:hAnsi="Times New Roman"/>
          <w:b/>
          <w:sz w:val="20"/>
          <w:szCs w:val="20"/>
        </w:rPr>
      </w:pPr>
      <w:r w:rsidRPr="00476EAC">
        <w:rPr>
          <w:rFonts w:ascii="Times New Roman" w:hAnsi="Times New Roman"/>
          <w:b/>
          <w:sz w:val="20"/>
          <w:szCs w:val="20"/>
        </w:rPr>
        <w:t xml:space="preserve">Требование к квалификации потенциальных поставщиков, определенное в </w:t>
      </w:r>
      <w:proofErr w:type="spellStart"/>
      <w:r w:rsidRPr="00476EAC">
        <w:rPr>
          <w:rFonts w:ascii="Times New Roman" w:hAnsi="Times New Roman"/>
          <w:b/>
          <w:sz w:val="20"/>
          <w:szCs w:val="20"/>
        </w:rPr>
        <w:t>пилотной</w:t>
      </w:r>
      <w:proofErr w:type="spellEnd"/>
      <w:r w:rsidRPr="00476EAC">
        <w:rPr>
          <w:rFonts w:ascii="Times New Roman" w:hAnsi="Times New Roman"/>
          <w:b/>
          <w:sz w:val="20"/>
          <w:szCs w:val="20"/>
        </w:rPr>
        <w:t xml:space="preserve"> закупочной</w:t>
      </w:r>
      <w:r w:rsidRPr="00D81742">
        <w:rPr>
          <w:rFonts w:ascii="Times New Roman" w:hAnsi="Times New Roman"/>
          <w:sz w:val="20"/>
          <w:szCs w:val="20"/>
        </w:rPr>
        <w:t xml:space="preserve"> </w:t>
      </w:r>
      <w:proofErr w:type="spellStart"/>
      <w:r w:rsidRPr="00476EAC">
        <w:rPr>
          <w:rFonts w:ascii="Times New Roman" w:hAnsi="Times New Roman"/>
          <w:b/>
          <w:sz w:val="20"/>
          <w:szCs w:val="20"/>
        </w:rPr>
        <w:t>категорийной</w:t>
      </w:r>
      <w:proofErr w:type="spellEnd"/>
      <w:r w:rsidRPr="00476EAC">
        <w:rPr>
          <w:rFonts w:ascii="Times New Roman" w:hAnsi="Times New Roman"/>
          <w:b/>
          <w:sz w:val="20"/>
          <w:szCs w:val="20"/>
        </w:rPr>
        <w:t xml:space="preserve"> стратегии:</w:t>
      </w:r>
    </w:p>
    <w:p w:rsidR="00A343A2" w:rsidRPr="008F7B6D" w:rsidRDefault="00A343A2" w:rsidP="00A343A2">
      <w:pPr>
        <w:spacing w:after="0" w:line="240" w:lineRule="auto"/>
        <w:contextualSpacing/>
        <w:rPr>
          <w:rFonts w:ascii="Times New Roman" w:hAnsi="Times New Roman"/>
          <w:sz w:val="20"/>
          <w:szCs w:val="20"/>
        </w:rPr>
      </w:pPr>
      <w:r w:rsidRPr="008F7B6D">
        <w:rPr>
          <w:rFonts w:ascii="Times New Roman" w:hAnsi="Times New Roman"/>
          <w:sz w:val="20"/>
          <w:szCs w:val="20"/>
        </w:rPr>
        <w:t>Требования не предусмотрены.</w:t>
      </w:r>
    </w:p>
    <w:p w:rsidR="00476EAC" w:rsidRPr="00D81742" w:rsidRDefault="00476EAC" w:rsidP="00476EAC">
      <w:pPr>
        <w:spacing w:after="0" w:line="240" w:lineRule="auto"/>
        <w:contextualSpacing/>
        <w:rPr>
          <w:rFonts w:ascii="Times New Roman" w:hAnsi="Times New Roman"/>
          <w:sz w:val="20"/>
          <w:szCs w:val="20"/>
        </w:rPr>
      </w:pPr>
    </w:p>
    <w:p w:rsidR="00D81742" w:rsidRPr="00476EAC" w:rsidRDefault="00D81742" w:rsidP="00DE432E">
      <w:pPr>
        <w:spacing w:after="0" w:line="240" w:lineRule="auto"/>
        <w:contextualSpacing/>
        <w:jc w:val="center"/>
        <w:rPr>
          <w:rFonts w:ascii="Times New Roman" w:hAnsi="Times New Roman"/>
          <w:b/>
          <w:sz w:val="20"/>
          <w:szCs w:val="20"/>
        </w:rPr>
      </w:pPr>
      <w:r w:rsidRPr="00476EAC">
        <w:rPr>
          <w:rFonts w:ascii="Times New Roman" w:hAnsi="Times New Roman"/>
          <w:b/>
          <w:sz w:val="20"/>
          <w:szCs w:val="20"/>
        </w:rPr>
        <w:t xml:space="preserve">Описание и требуемые функциональные, технические, качественные и эксплуатационные характеристики </w:t>
      </w:r>
      <w:proofErr w:type="gramStart"/>
      <w:r w:rsidRPr="00476EAC">
        <w:rPr>
          <w:rFonts w:ascii="Times New Roman" w:hAnsi="Times New Roman"/>
          <w:b/>
          <w:sz w:val="20"/>
          <w:szCs w:val="20"/>
        </w:rPr>
        <w:t>закупаемых</w:t>
      </w:r>
      <w:proofErr w:type="gramEnd"/>
      <w:r w:rsidRPr="00476EAC">
        <w:rPr>
          <w:rFonts w:ascii="Times New Roman" w:hAnsi="Times New Roman"/>
          <w:b/>
          <w:sz w:val="20"/>
          <w:szCs w:val="20"/>
        </w:rPr>
        <w:t xml:space="preserve"> ТРУ:</w:t>
      </w:r>
    </w:p>
    <w:p w:rsidR="00D81742" w:rsidRPr="00D81742" w:rsidRDefault="00D81742" w:rsidP="00476EAC">
      <w:pPr>
        <w:spacing w:after="0" w:line="240" w:lineRule="auto"/>
        <w:contextualSpacing/>
        <w:rPr>
          <w:rFonts w:ascii="Times New Roman" w:hAnsi="Times New Roman"/>
          <w:sz w:val="20"/>
          <w:szCs w:val="20"/>
        </w:rPr>
      </w:pPr>
      <w:r w:rsidRPr="00D81742">
        <w:rPr>
          <w:rFonts w:ascii="Times New Roman" w:hAnsi="Times New Roman"/>
          <w:sz w:val="20"/>
          <w:szCs w:val="20"/>
        </w:rPr>
        <w:t>Требования не предусмотрены</w:t>
      </w:r>
    </w:p>
    <w:p w:rsidR="00D81742" w:rsidRPr="00CF4903" w:rsidRDefault="00D81742" w:rsidP="00656375">
      <w:pPr>
        <w:spacing w:after="0" w:line="240" w:lineRule="auto"/>
        <w:contextualSpacing/>
        <w:jc w:val="both"/>
        <w:rPr>
          <w:rFonts w:ascii="Times New Roman" w:hAnsi="Times New Roman"/>
          <w:sz w:val="20"/>
          <w:szCs w:val="20"/>
          <w:highlight w:val="green"/>
        </w:rPr>
      </w:pPr>
    </w:p>
    <w:p w:rsidR="004E0B01" w:rsidRPr="00CF4903" w:rsidRDefault="004E0B01" w:rsidP="004E0B01">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Представление заявок на участие в тендере</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формируются в виде электронных документов в соответствии с типовой формой (согласно Приложению № 6 к Стандарту) и предоставляются потенциальными поставщиками до истечения времени и даты вскрытия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Тендерные заявки, поданные потенциальными поставщиками, автоматически регистрируются в Системе. В </w:t>
      </w:r>
      <w:proofErr w:type="gramStart"/>
      <w:r w:rsidRPr="00CF4903">
        <w:rPr>
          <w:rFonts w:ascii="Times New Roman" w:hAnsi="Times New Roman"/>
          <w:sz w:val="20"/>
          <w:szCs w:val="20"/>
        </w:rPr>
        <w:t>качестве</w:t>
      </w:r>
      <w:proofErr w:type="gramEnd"/>
      <w:r w:rsidRPr="00CF4903">
        <w:rPr>
          <w:rFonts w:ascii="Times New Roman" w:hAnsi="Times New Roman"/>
          <w:sz w:val="20"/>
          <w:szCs w:val="20"/>
        </w:rPr>
        <w:t xml:space="preserve">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rsidR="004E0B01" w:rsidRPr="00CF4903" w:rsidRDefault="004E0B01" w:rsidP="004E0B01">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Отказ в приеме тендерной заявки Системой производится в случаях:</w:t>
      </w:r>
    </w:p>
    <w:p w:rsidR="004E0B01" w:rsidRPr="00CF4903" w:rsidRDefault="004E0B01" w:rsidP="004E0B01">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ценового предложения, выраженного в тенге, превышающего сумму, выделенную для закупки;</w:t>
      </w:r>
    </w:p>
    <w:p w:rsidR="004E0B01" w:rsidRPr="00CF4903" w:rsidRDefault="004E0B01" w:rsidP="004E0B01">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тендерной заявки после наступления даты и времени вскрытия;</w:t>
      </w:r>
    </w:p>
    <w:p w:rsidR="004E0B01" w:rsidRPr="00CF4903" w:rsidRDefault="004E0B01" w:rsidP="004E0B01">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тендерной заявки потенциальным поставщиком, состоящим в перечн</w:t>
      </w:r>
      <w:proofErr w:type="gramStart"/>
      <w:r w:rsidRPr="00CF4903">
        <w:rPr>
          <w:rFonts w:ascii="Times New Roman" w:hAnsi="Times New Roman"/>
          <w:sz w:val="20"/>
          <w:szCs w:val="20"/>
        </w:rPr>
        <w:t>е(</w:t>
      </w:r>
      <w:proofErr w:type="spellStart"/>
      <w:proofErr w:type="gramEnd"/>
      <w:r w:rsidRPr="00CF4903">
        <w:rPr>
          <w:rFonts w:ascii="Times New Roman" w:hAnsi="Times New Roman"/>
          <w:sz w:val="20"/>
          <w:szCs w:val="20"/>
        </w:rPr>
        <w:t>ях</w:t>
      </w:r>
      <w:proofErr w:type="spellEnd"/>
      <w:r w:rsidRPr="00CF4903">
        <w:rPr>
          <w:rFonts w:ascii="Times New Roman" w:hAnsi="Times New Roman"/>
          <w:sz w:val="20"/>
          <w:szCs w:val="20"/>
        </w:rPr>
        <w:t>), указанном(</w:t>
      </w:r>
      <w:proofErr w:type="spellStart"/>
      <w:r w:rsidRPr="00CF4903">
        <w:rPr>
          <w:rFonts w:ascii="Times New Roman" w:hAnsi="Times New Roman"/>
          <w:sz w:val="20"/>
          <w:szCs w:val="20"/>
        </w:rPr>
        <w:t>ых</w:t>
      </w:r>
      <w:proofErr w:type="spellEnd"/>
      <w:r w:rsidRPr="00CF4903">
        <w:rPr>
          <w:rFonts w:ascii="Times New Roman" w:hAnsi="Times New Roman"/>
          <w:sz w:val="20"/>
          <w:szCs w:val="20"/>
        </w:rPr>
        <w:t>) в подпункте 1) пункта 1 статьи 31 Стандарта</w:t>
      </w:r>
      <w:r>
        <w:rPr>
          <w:rFonts w:ascii="Times New Roman" w:hAnsi="Times New Roman"/>
          <w:sz w:val="20"/>
          <w:szCs w:val="20"/>
        </w:rPr>
        <w:t>.</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r>
        <w:rPr>
          <w:rFonts w:ascii="Times New Roman" w:hAnsi="Times New Roman"/>
          <w:sz w:val="20"/>
          <w:szCs w:val="20"/>
        </w:rPr>
        <w:t xml:space="preserve"> При этом </w:t>
      </w:r>
      <w:r w:rsidRPr="00287E8C">
        <w:rPr>
          <w:rFonts w:ascii="Times New Roman" w:hAnsi="Times New Roman"/>
          <w:sz w:val="20"/>
          <w:szCs w:val="20"/>
        </w:rPr>
        <w:t>Заявка может содержать документы, составленные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4E0B01" w:rsidRPr="00CF4903" w:rsidRDefault="004E0B01" w:rsidP="004E0B01">
      <w:pPr>
        <w:pStyle w:val="a7"/>
        <w:widowControl/>
        <w:adjustRightInd/>
        <w:spacing w:line="240" w:lineRule="auto"/>
        <w:ind w:left="0"/>
        <w:contextualSpacing/>
        <w:rPr>
          <w:sz w:val="20"/>
          <w:szCs w:val="20"/>
        </w:rPr>
      </w:pPr>
    </w:p>
    <w:p w:rsidR="004E0B01" w:rsidRPr="00CF4903" w:rsidRDefault="004E0B01" w:rsidP="004E0B01">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Содержание заявок на участие в тендере</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Заявка на участие в закупке должна содержать:</w:t>
      </w:r>
    </w:p>
    <w:p w:rsidR="004E0B01" w:rsidRPr="00CF4903"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Заполненную и подписанную потенциальным поставщиком тендерную заявку (в форме электронного документа);</w:t>
      </w:r>
    </w:p>
    <w:p w:rsidR="004E0B01" w:rsidRPr="00CF4903"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Техническую спецификацию (техническое задание) потенциального поставщика в форме электронного документа, сформированного в Системе. При этом к технической спецификации могут быть приложены документы в виде электронных копий и/или электронных документов, соответствующих требованиям, установленным тендерной документацией;</w:t>
      </w:r>
    </w:p>
    <w:p w:rsidR="004E0B01" w:rsidRPr="001406CD"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1406CD">
        <w:rPr>
          <w:rFonts w:ascii="Times New Roman" w:hAnsi="Times New Roman"/>
          <w:sz w:val="20"/>
          <w:szCs w:val="20"/>
        </w:rPr>
        <w:lastRenderedPageBreak/>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p w:rsidR="004E0B01" w:rsidRPr="00CF4903"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Сумма обеспечения тендерной заявки не должна быть ниже размера, установленного тендерной документацией.</w:t>
      </w:r>
    </w:p>
    <w:p w:rsidR="004E0B01" w:rsidRPr="00CF4903"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rsidR="004E0B01" w:rsidRPr="00CF4903"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xml:space="preserve"> внесения потенциальным поставщиком обеспечения заявки в виде банковской гарантии на бумажном носителе, ее оригинал представляется </w:t>
      </w:r>
      <w:r>
        <w:rPr>
          <w:rFonts w:ascii="Times New Roman" w:hAnsi="Times New Roman"/>
          <w:sz w:val="20"/>
          <w:szCs w:val="20"/>
        </w:rPr>
        <w:t>О</w:t>
      </w:r>
      <w:r w:rsidRPr="00CF4903">
        <w:rPr>
          <w:rFonts w:ascii="Times New Roman" w:hAnsi="Times New Roman"/>
          <w:sz w:val="20"/>
          <w:szCs w:val="20"/>
        </w:rPr>
        <w:t>рганизатору закупок до окончательного срока представления тендерных заявок.</w:t>
      </w:r>
    </w:p>
    <w:p w:rsidR="004E0B01" w:rsidRPr="00CF4903"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p w:rsidR="004E0B01" w:rsidRPr="00CF4903"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137572">
        <w:rPr>
          <w:rFonts w:ascii="Times New Roman" w:hAnsi="Times New Roman"/>
          <w:sz w:val="20"/>
          <w:szCs w:val="20"/>
        </w:rPr>
        <w:t xml:space="preserve">Документ, </w:t>
      </w:r>
      <w:r w:rsidRPr="001406CD">
        <w:rPr>
          <w:rFonts w:ascii="Times New Roman" w:hAnsi="Times New Roman"/>
          <w:sz w:val="20"/>
          <w:szCs w:val="20"/>
        </w:rPr>
        <w:t>содержащи</w:t>
      </w:r>
      <w:proofErr w:type="gramStart"/>
      <w:r w:rsidRPr="001406CD">
        <w:rPr>
          <w:rFonts w:ascii="Times New Roman" w:hAnsi="Times New Roman"/>
          <w:sz w:val="20"/>
          <w:szCs w:val="20"/>
        </w:rPr>
        <w:t>й(</w:t>
      </w:r>
      <w:proofErr w:type="gramEnd"/>
      <w:r w:rsidRPr="001406CD">
        <w:rPr>
          <w:rFonts w:ascii="Times New Roman" w:hAnsi="Times New Roman"/>
          <w:sz w:val="20"/>
          <w:szCs w:val="20"/>
        </w:rPr>
        <w:t xml:space="preserve">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 В </w:t>
      </w:r>
      <w:proofErr w:type="gramStart"/>
      <w:r w:rsidRPr="001406CD">
        <w:rPr>
          <w:rFonts w:ascii="Times New Roman" w:hAnsi="Times New Roman"/>
          <w:sz w:val="20"/>
          <w:szCs w:val="20"/>
        </w:rPr>
        <w:t>случае</w:t>
      </w:r>
      <w:proofErr w:type="gramEnd"/>
      <w:r w:rsidRPr="001406CD">
        <w:rPr>
          <w:rFonts w:ascii="Times New Roman" w:hAnsi="Times New Roman"/>
          <w:sz w:val="20"/>
          <w:szCs w:val="20"/>
        </w:rPr>
        <w:t xml:space="preserve">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В </w:t>
      </w:r>
      <w:proofErr w:type="gramStart"/>
      <w:r w:rsidRPr="001406CD">
        <w:rPr>
          <w:rFonts w:ascii="Times New Roman" w:hAnsi="Times New Roman"/>
          <w:sz w:val="20"/>
          <w:szCs w:val="20"/>
        </w:rPr>
        <w:t>случае</w:t>
      </w:r>
      <w:proofErr w:type="gramEnd"/>
      <w:r w:rsidRPr="001406CD">
        <w:rPr>
          <w:rFonts w:ascii="Times New Roman" w:hAnsi="Times New Roman"/>
          <w:sz w:val="20"/>
          <w:szCs w:val="20"/>
        </w:rPr>
        <w:t xml:space="preserve">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Для физических лиц, осуществляющих частное предпринимательство без образования юридического лица, в качестве документа, указанного в настоящем пункте, </w:t>
      </w:r>
      <w:proofErr w:type="gramStart"/>
      <w:r w:rsidRPr="001406CD">
        <w:rPr>
          <w:rFonts w:ascii="Times New Roman" w:hAnsi="Times New Roman"/>
          <w:sz w:val="20"/>
          <w:szCs w:val="20"/>
        </w:rPr>
        <w:t>предоставляется документ</w:t>
      </w:r>
      <w:proofErr w:type="gramEnd"/>
      <w:r w:rsidRPr="001406CD">
        <w:rPr>
          <w:rFonts w:ascii="Times New Roman" w:hAnsi="Times New Roman"/>
          <w:sz w:val="20"/>
          <w:szCs w:val="20"/>
        </w:rPr>
        <w:t>, содержащий сведения о государственной регистрации потенциального поставщика, выданный в соответствии с законодательством Республики Казахстан. 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r w:rsidRPr="00CF4903">
        <w:rPr>
          <w:rFonts w:ascii="Times New Roman" w:hAnsi="Times New Roman"/>
          <w:sz w:val="20"/>
          <w:szCs w:val="20"/>
        </w:rPr>
        <w:t>;</w:t>
      </w:r>
    </w:p>
    <w:p w:rsidR="00681316" w:rsidRPr="00681316" w:rsidRDefault="00681316" w:rsidP="00681316">
      <w:pPr>
        <w:numPr>
          <w:ilvl w:val="2"/>
          <w:numId w:val="5"/>
        </w:numPr>
        <w:spacing w:after="0" w:line="240" w:lineRule="auto"/>
        <w:ind w:left="644" w:hanging="284"/>
        <w:contextualSpacing/>
        <w:jc w:val="both"/>
        <w:rPr>
          <w:rFonts w:ascii="Times New Roman" w:hAnsi="Times New Roman"/>
          <w:sz w:val="20"/>
          <w:szCs w:val="20"/>
        </w:rPr>
      </w:pPr>
      <w:r w:rsidRPr="00681316">
        <w:rPr>
          <w:rFonts w:ascii="Times New Roman" w:hAnsi="Times New Roman"/>
          <w:sz w:val="20"/>
          <w:szCs w:val="20"/>
        </w:rPr>
        <w:t>Ценовое предложение, подписанное потенциальным поставщиком (в форме электронного документа).</w:t>
      </w:r>
    </w:p>
    <w:p w:rsidR="00681316" w:rsidRPr="00681316" w:rsidRDefault="00681316" w:rsidP="00681316">
      <w:pPr>
        <w:ind w:left="644"/>
        <w:contextualSpacing/>
        <w:jc w:val="both"/>
        <w:rPr>
          <w:rFonts w:ascii="Times New Roman" w:hAnsi="Times New Roman"/>
          <w:sz w:val="20"/>
          <w:szCs w:val="20"/>
        </w:rPr>
      </w:pPr>
      <w:r w:rsidRPr="00681316">
        <w:rPr>
          <w:rFonts w:ascii="Times New Roman" w:hAnsi="Times New Roman"/>
          <w:sz w:val="20"/>
          <w:szCs w:val="20"/>
        </w:rP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p w:rsidR="004E0B01" w:rsidRPr="00CF4903"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Сведения о согласии потенциального поставщика с условиями, видом, объемом и способом внесения обеспечения исполнения договора;</w:t>
      </w:r>
    </w:p>
    <w:p w:rsidR="004E0B01"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Сведения об ознакомлении потенциального поставщика с условиями внесения в Перечень ненадежных потенциальных поставщиков (поставщиков) Холдинга;</w:t>
      </w:r>
    </w:p>
    <w:p w:rsidR="004E0B01" w:rsidRPr="00CF4903" w:rsidRDefault="004E0B01" w:rsidP="004E0B01">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r>
        <w:rPr>
          <w:rFonts w:ascii="Times New Roman" w:hAnsi="Times New Roman"/>
          <w:sz w:val="20"/>
          <w:szCs w:val="20"/>
        </w:rPr>
        <w:t xml:space="preserve"> (</w:t>
      </w:r>
      <w:r w:rsidRPr="00CF4903">
        <w:rPr>
          <w:rFonts w:ascii="Times New Roman" w:hAnsi="Times New Roman"/>
          <w:sz w:val="20"/>
          <w:szCs w:val="20"/>
        </w:rPr>
        <w:t>в форме электронного документа</w:t>
      </w:r>
      <w:r>
        <w:rPr>
          <w:rFonts w:ascii="Times New Roman" w:hAnsi="Times New Roman"/>
          <w:sz w:val="20"/>
          <w:szCs w:val="20"/>
        </w:rPr>
        <w:t>)</w:t>
      </w:r>
      <w:r w:rsidRPr="00CF4903">
        <w:rPr>
          <w:rFonts w:ascii="Times New Roman" w:hAnsi="Times New Roman"/>
          <w:sz w:val="20"/>
          <w:szCs w:val="20"/>
        </w:rPr>
        <w:t>.</w:t>
      </w:r>
    </w:p>
    <w:p w:rsidR="004E0B01" w:rsidRPr="00CF4903"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w:t>
      </w:r>
      <w:r>
        <w:rPr>
          <w:rFonts w:ascii="Times New Roman" w:hAnsi="Times New Roman"/>
          <w:sz w:val="20"/>
          <w:szCs w:val="20"/>
        </w:rPr>
        <w:t>У</w:t>
      </w:r>
      <w:r w:rsidRPr="00CF4903">
        <w:rPr>
          <w:rFonts w:ascii="Times New Roman" w:hAnsi="Times New Roman"/>
          <w:sz w:val="20"/>
          <w:szCs w:val="20"/>
        </w:rPr>
        <w:t>ставом потенциального поставщика.</w:t>
      </w:r>
    </w:p>
    <w:p w:rsidR="004E0B01" w:rsidRDefault="004E0B01" w:rsidP="004E0B01">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Потенциальным поставщиком-нерезидентом Республики Казахстан предоставляется в форме электронной копии;</w:t>
      </w:r>
    </w:p>
    <w:p w:rsidR="004E0B01" w:rsidRPr="001D59D0" w:rsidRDefault="004E0B01" w:rsidP="00F05820">
      <w:pPr>
        <w:pStyle w:val="a7"/>
        <w:numPr>
          <w:ilvl w:val="2"/>
          <w:numId w:val="5"/>
        </w:numPr>
        <w:spacing w:line="240" w:lineRule="auto"/>
        <w:ind w:hanging="294"/>
        <w:contextualSpacing/>
        <w:rPr>
          <w:sz w:val="20"/>
          <w:szCs w:val="20"/>
        </w:rPr>
      </w:pPr>
      <w:proofErr w:type="gramStart"/>
      <w:r>
        <w:rPr>
          <w:sz w:val="20"/>
          <w:szCs w:val="20"/>
        </w:rPr>
        <w:t>Гарантийное письмо о сохранении имеющихся для граждан Республики Казахстан на территории Республики Казахстан на период действия договора о закупках.</w:t>
      </w:r>
      <w:proofErr w:type="gramEnd"/>
      <w:r>
        <w:rPr>
          <w:sz w:val="20"/>
          <w:szCs w:val="20"/>
        </w:rPr>
        <w:t xml:space="preserve"> Требование настоящего пункта распространяется на потенциальных поставщиков, </w:t>
      </w:r>
      <w:proofErr w:type="gramStart"/>
      <w:r>
        <w:rPr>
          <w:sz w:val="20"/>
          <w:szCs w:val="20"/>
        </w:rPr>
        <w:t>зарегистрированными</w:t>
      </w:r>
      <w:proofErr w:type="gramEnd"/>
      <w:r>
        <w:rPr>
          <w:sz w:val="20"/>
          <w:szCs w:val="20"/>
        </w:rPr>
        <w:t xml:space="preserve"> в соответствии с законодательством Республики Казахстан.</w:t>
      </w:r>
    </w:p>
    <w:p w:rsidR="004E0B01" w:rsidRPr="00CF4903"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Потенциальный поставщик-нерезидент Республики Казахстан представляет такие же документы, предусмотренные пунктом 3.1., что и резиденты Республики Казахстан, либо документы, содержащие аналогичные сведения.</w:t>
      </w:r>
    </w:p>
    <w:p w:rsidR="004E0B01" w:rsidRDefault="004E0B01" w:rsidP="004E0B01">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пункте 3.1.</w:t>
      </w:r>
    </w:p>
    <w:p w:rsidR="004E0B01" w:rsidRPr="00CF4903" w:rsidRDefault="004E0B01" w:rsidP="004E0B01">
      <w:pPr>
        <w:spacing w:after="0" w:line="240" w:lineRule="auto"/>
        <w:ind w:left="360"/>
        <w:contextualSpacing/>
        <w:jc w:val="both"/>
        <w:rPr>
          <w:rFonts w:ascii="Times New Roman" w:hAnsi="Times New Roman"/>
          <w:sz w:val="20"/>
          <w:szCs w:val="20"/>
        </w:rPr>
      </w:pPr>
    </w:p>
    <w:p w:rsidR="00656375" w:rsidRPr="004E0B01" w:rsidRDefault="00656375" w:rsidP="004E0B01">
      <w:pPr>
        <w:numPr>
          <w:ilvl w:val="0"/>
          <w:numId w:val="1"/>
        </w:numPr>
        <w:spacing w:after="0" w:line="240" w:lineRule="auto"/>
        <w:contextualSpacing/>
        <w:jc w:val="both"/>
        <w:rPr>
          <w:rFonts w:ascii="Times New Roman" w:hAnsi="Times New Roman"/>
          <w:b/>
          <w:sz w:val="20"/>
          <w:szCs w:val="20"/>
        </w:rPr>
      </w:pPr>
      <w:r w:rsidRPr="004E0B01">
        <w:rPr>
          <w:rFonts w:ascii="Times New Roman" w:hAnsi="Times New Roman"/>
          <w:b/>
          <w:sz w:val="20"/>
          <w:szCs w:val="20"/>
        </w:rPr>
        <w:t>Вскрытие тендерных заявок</w:t>
      </w:r>
    </w:p>
    <w:p w:rsidR="00AB366D" w:rsidRDefault="00AB366D" w:rsidP="00AB366D">
      <w:pPr>
        <w:numPr>
          <w:ilvl w:val="1"/>
          <w:numId w:val="1"/>
        </w:numPr>
        <w:spacing w:after="0" w:line="240" w:lineRule="auto"/>
        <w:contextualSpacing/>
        <w:jc w:val="both"/>
        <w:rPr>
          <w:rFonts w:ascii="Times New Roman" w:hAnsi="Times New Roman"/>
          <w:sz w:val="20"/>
          <w:szCs w:val="20"/>
        </w:rPr>
      </w:pPr>
      <w:r w:rsidRPr="00AB366D">
        <w:rPr>
          <w:rFonts w:ascii="Times New Roman" w:hAnsi="Times New Roman"/>
          <w:sz w:val="20"/>
          <w:szCs w:val="20"/>
        </w:rPr>
        <w:t xml:space="preserve">Заявки на участие в электронной закупке вскрываются в Системе автоматически в дату и время, указанные в объявлении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Уполномоченному органу по вопросам закупок, Наблюдателям и портфельным компаниям, которым прямо или косвенно принадлежит Заказчик. Потенциальным поставщикам, принявшим участие в данной электронной закупке, указанный доступ предоставляется после публикации протокола допуска (при проведении открытого тендера с применением торгов на понижение) или протокола итогов (при проведении открытого тендера). </w:t>
      </w:r>
    </w:p>
    <w:p w:rsidR="00AB366D" w:rsidRDefault="00AB366D" w:rsidP="00AB366D">
      <w:pPr>
        <w:numPr>
          <w:ilvl w:val="1"/>
          <w:numId w:val="1"/>
        </w:numPr>
        <w:spacing w:after="0" w:line="240" w:lineRule="auto"/>
        <w:contextualSpacing/>
        <w:jc w:val="both"/>
        <w:rPr>
          <w:rFonts w:ascii="Times New Roman" w:hAnsi="Times New Roman"/>
          <w:sz w:val="20"/>
          <w:szCs w:val="20"/>
        </w:rPr>
      </w:pPr>
      <w:r w:rsidRPr="00AB366D">
        <w:rPr>
          <w:rFonts w:ascii="Times New Roman" w:hAnsi="Times New Roman"/>
          <w:sz w:val="20"/>
          <w:szCs w:val="20"/>
        </w:rPr>
        <w:t>Заявка на участие в электронных закупках вскрывается также в случае, если на электронный тендер (лот) представлена только 1 (одна) заявка на участие в электронной закупке (лоте) и рассматривается на соответствие требованиям Тендерной документации.</w:t>
      </w:r>
    </w:p>
    <w:p w:rsidR="00AB366D" w:rsidRDefault="00AB366D" w:rsidP="00AB366D">
      <w:pPr>
        <w:numPr>
          <w:ilvl w:val="1"/>
          <w:numId w:val="1"/>
        </w:numPr>
        <w:spacing w:after="0" w:line="240" w:lineRule="auto"/>
        <w:contextualSpacing/>
        <w:jc w:val="both"/>
        <w:rPr>
          <w:rFonts w:ascii="Times New Roman" w:hAnsi="Times New Roman"/>
          <w:sz w:val="20"/>
          <w:szCs w:val="20"/>
        </w:rPr>
      </w:pPr>
      <w:r w:rsidRPr="00AB366D">
        <w:rPr>
          <w:rFonts w:ascii="Times New Roman" w:hAnsi="Times New Roman"/>
          <w:sz w:val="20"/>
          <w:szCs w:val="20"/>
        </w:rPr>
        <w:lastRenderedPageBreak/>
        <w:t xml:space="preserve">Протокол вскрытия заявок потенциальных поставщиков на участие в электронной закупке оформляется автоматически в Системе. </w:t>
      </w:r>
    </w:p>
    <w:p w:rsidR="00656375" w:rsidRDefault="00AB366D" w:rsidP="00AB366D">
      <w:pPr>
        <w:numPr>
          <w:ilvl w:val="1"/>
          <w:numId w:val="1"/>
        </w:numPr>
        <w:spacing w:after="0" w:line="240" w:lineRule="auto"/>
        <w:contextualSpacing/>
        <w:jc w:val="both"/>
        <w:rPr>
          <w:rFonts w:ascii="Times New Roman" w:hAnsi="Times New Roman"/>
          <w:sz w:val="20"/>
          <w:szCs w:val="20"/>
        </w:rPr>
      </w:pPr>
      <w:r w:rsidRPr="00AB366D">
        <w:rPr>
          <w:rFonts w:ascii="Times New Roman" w:hAnsi="Times New Roman"/>
          <w:sz w:val="20"/>
          <w:szCs w:val="20"/>
        </w:rPr>
        <w:t xml:space="preserve">В случае, если до даты и времени вскрытия не поступило ни одной заявки на участие в тендере, закупки способом открытого тендера признаются </w:t>
      </w:r>
      <w:proofErr w:type="gramStart"/>
      <w:r w:rsidRPr="00AB366D">
        <w:rPr>
          <w:rFonts w:ascii="Times New Roman" w:hAnsi="Times New Roman"/>
          <w:sz w:val="20"/>
          <w:szCs w:val="20"/>
        </w:rPr>
        <w:t>несостоявшимися</w:t>
      </w:r>
      <w:proofErr w:type="gramEnd"/>
      <w:r w:rsidRPr="00AB366D">
        <w:rPr>
          <w:rFonts w:ascii="Times New Roman" w:hAnsi="Times New Roman"/>
          <w:sz w:val="20"/>
          <w:szCs w:val="20"/>
        </w:rPr>
        <w:t xml:space="preserve"> и Системой формируется протокол итогов закупок.</w:t>
      </w:r>
    </w:p>
    <w:p w:rsidR="00AB366D" w:rsidRPr="00AB366D" w:rsidRDefault="00AB366D" w:rsidP="00AB366D">
      <w:pPr>
        <w:spacing w:after="0" w:line="240" w:lineRule="auto"/>
        <w:ind w:left="360"/>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рассмотрения, оценки и сопоставления заявок на участие в тендере</w:t>
      </w:r>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Заявки на участие в электронной закупке рассматриваются тендерной комиссией на предмет соответствия заявок требованиям настоящей Тендерной документации.</w:t>
      </w:r>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 xml:space="preserve">Тендерная комиссия осуществляет предварительное рассмотрение тендерных заявок в срок, не более 5 (пяти) рабочих дней со дня вскрытия заявок на участие в электронной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7 (семи) рабочих дней со дня вскрытия заявок на участие в электронной закупке. </w:t>
      </w:r>
    </w:p>
    <w:p w:rsidR="001A1529" w:rsidRDefault="000E2E6A" w:rsidP="000E2E6A">
      <w:pPr>
        <w:numPr>
          <w:ilvl w:val="1"/>
          <w:numId w:val="1"/>
        </w:numPr>
        <w:spacing w:after="0" w:line="240" w:lineRule="auto"/>
        <w:contextualSpacing/>
        <w:jc w:val="both"/>
        <w:rPr>
          <w:rFonts w:ascii="Times New Roman" w:hAnsi="Times New Roman"/>
          <w:sz w:val="20"/>
          <w:szCs w:val="20"/>
        </w:rPr>
      </w:pPr>
      <w:proofErr w:type="gramStart"/>
      <w:r w:rsidRPr="000E2E6A">
        <w:rPr>
          <w:rFonts w:ascii="Times New Roman" w:hAnsi="Times New Roman"/>
          <w:sz w:val="20"/>
          <w:szCs w:val="20"/>
        </w:rPr>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w:t>
      </w:r>
      <w:proofErr w:type="gramEnd"/>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 xml:space="preserve">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 xml:space="preserve">В </w:t>
      </w:r>
      <w:proofErr w:type="gramStart"/>
      <w:r w:rsidRPr="000E2E6A">
        <w:rPr>
          <w:rFonts w:ascii="Times New Roman" w:hAnsi="Times New Roman"/>
          <w:sz w:val="20"/>
          <w:szCs w:val="20"/>
        </w:rPr>
        <w:t>случае</w:t>
      </w:r>
      <w:proofErr w:type="gramEnd"/>
      <w:r w:rsidRPr="000E2E6A">
        <w:rPr>
          <w:rFonts w:ascii="Times New Roman" w:hAnsi="Times New Roman"/>
          <w:sz w:val="20"/>
          <w:szCs w:val="20"/>
        </w:rPr>
        <w:t xml:space="preserve"> отсутствия у тендерной комиссии замечаний к содержанию заявок на участие в электронной закупке формируется протокол итогов. </w:t>
      </w:r>
    </w:p>
    <w:p w:rsidR="001A1529" w:rsidRDefault="000E2E6A" w:rsidP="000E2E6A">
      <w:pPr>
        <w:numPr>
          <w:ilvl w:val="1"/>
          <w:numId w:val="1"/>
        </w:numPr>
        <w:spacing w:after="0" w:line="240" w:lineRule="auto"/>
        <w:contextualSpacing/>
        <w:jc w:val="both"/>
        <w:rPr>
          <w:rFonts w:ascii="Times New Roman" w:hAnsi="Times New Roman"/>
          <w:sz w:val="20"/>
          <w:szCs w:val="20"/>
        </w:rPr>
      </w:pPr>
      <w:proofErr w:type="gramStart"/>
      <w:r w:rsidRPr="000E2E6A">
        <w:rPr>
          <w:rFonts w:ascii="Times New Roman" w:hAnsi="Times New Roman"/>
          <w:sz w:val="20"/>
          <w:szCs w:val="20"/>
        </w:rPr>
        <w:t>В случае наличия у тендерной комиссии замечаний к содержанию заявок на участие в электронной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w:t>
      </w:r>
      <w:proofErr w:type="gramEnd"/>
      <w:r w:rsidRPr="000E2E6A">
        <w:rPr>
          <w:rFonts w:ascii="Times New Roman" w:hAnsi="Times New Roman"/>
          <w:sz w:val="20"/>
          <w:szCs w:val="20"/>
        </w:rPr>
        <w:t xml:space="preserve"> Протокол предварительного рассмотрения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 и автоматически публикуется в Системе. </w:t>
      </w:r>
      <w:proofErr w:type="gramStart"/>
      <w:r w:rsidRPr="000E2E6A">
        <w:rPr>
          <w:rFonts w:ascii="Times New Roman" w:hAnsi="Times New Roman"/>
          <w:sz w:val="20"/>
          <w:szCs w:val="20"/>
        </w:rPr>
        <w:t>Потенциальные поставщики, в заявках на участие в электронной закупке которых выявлены несоответствия требованиям тендерной документации, в том числе в технической спецификации, вправе в течение 2 (двух) рабочих дней с даты публикации протокола предварительного рассмотрения представить дополнения и/или изменения в заявку на участие в электронной закупке с целью устранения выявленных несоответствий.</w:t>
      </w:r>
      <w:proofErr w:type="gramEnd"/>
      <w:r w:rsidRPr="000E2E6A">
        <w:rPr>
          <w:rFonts w:ascii="Times New Roman" w:hAnsi="Times New Roman"/>
          <w:sz w:val="20"/>
          <w:szCs w:val="20"/>
        </w:rPr>
        <w:t xml:space="preserve"> При этом</w:t>
      </w:r>
      <w:proofErr w:type="gramStart"/>
      <w:r w:rsidRPr="000E2E6A">
        <w:rPr>
          <w:rFonts w:ascii="Times New Roman" w:hAnsi="Times New Roman"/>
          <w:sz w:val="20"/>
          <w:szCs w:val="20"/>
        </w:rPr>
        <w:t>,</w:t>
      </w:r>
      <w:proofErr w:type="gramEnd"/>
      <w:r w:rsidRPr="000E2E6A">
        <w:rPr>
          <w:rFonts w:ascii="Times New Roman" w:hAnsi="Times New Roman"/>
          <w:sz w:val="20"/>
          <w:szCs w:val="20"/>
        </w:rPr>
        <w:t xml:space="preserve"> в случае наличия требования по предоставлению обеспечения заявки на участие в тендере, не допускается приведение заявок на участие в электронной закупке потенциальными поставщиками, не внесшими обеспечение заявки на участие в электронной закупке либо внесшими его с нарушением требований, определенных в тендерной документации. При предоставлении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0E2E6A">
        <w:rPr>
          <w:rFonts w:ascii="Times New Roman" w:hAnsi="Times New Roman"/>
          <w:sz w:val="20"/>
          <w:szCs w:val="20"/>
        </w:rPr>
        <w:t>соисполнение</w:t>
      </w:r>
      <w:proofErr w:type="spellEnd"/>
      <w:r w:rsidRPr="000E2E6A">
        <w:rPr>
          <w:rFonts w:ascii="Times New Roman" w:hAnsi="Times New Roman"/>
          <w:sz w:val="20"/>
          <w:szCs w:val="20"/>
        </w:rPr>
        <w:t xml:space="preserve">) работ или услуг. </w:t>
      </w:r>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 xml:space="preserve">Тендерная комиссия повторно рассматривает заявки на участие в электронной закупке потенциальных поставщиков с учетом дополнений и/или изменений в срок не более 3 (трех) рабочих дней </w:t>
      </w:r>
      <w:proofErr w:type="gramStart"/>
      <w:r w:rsidRPr="000E2E6A">
        <w:rPr>
          <w:rFonts w:ascii="Times New Roman" w:hAnsi="Times New Roman"/>
          <w:sz w:val="20"/>
          <w:szCs w:val="20"/>
        </w:rPr>
        <w:t>с даты истечения</w:t>
      </w:r>
      <w:proofErr w:type="gramEnd"/>
      <w:r w:rsidRPr="000E2E6A">
        <w:rPr>
          <w:rFonts w:ascii="Times New Roman" w:hAnsi="Times New Roman"/>
          <w:sz w:val="20"/>
          <w:szCs w:val="20"/>
        </w:rPr>
        <w:t xml:space="preserve"> срока для приема дополнений и/или изменений в заявку. </w:t>
      </w:r>
    </w:p>
    <w:p w:rsidR="001A1529" w:rsidRDefault="000E2E6A" w:rsidP="000E2E6A">
      <w:pPr>
        <w:numPr>
          <w:ilvl w:val="1"/>
          <w:numId w:val="1"/>
        </w:numPr>
        <w:spacing w:after="0" w:line="240" w:lineRule="auto"/>
        <w:contextualSpacing/>
        <w:jc w:val="both"/>
        <w:rPr>
          <w:rFonts w:ascii="Times New Roman" w:hAnsi="Times New Roman"/>
          <w:sz w:val="20"/>
          <w:szCs w:val="20"/>
        </w:rPr>
      </w:pPr>
      <w:r w:rsidRPr="000E2E6A">
        <w:rPr>
          <w:rFonts w:ascii="Times New Roman" w:hAnsi="Times New Roman"/>
          <w:sz w:val="20"/>
          <w:szCs w:val="20"/>
        </w:rPr>
        <w:t xml:space="preserve">Тендерная комиссия отклоняет заявку в случае: </w:t>
      </w:r>
    </w:p>
    <w:p w:rsidR="001A1529" w:rsidRDefault="000E2E6A" w:rsidP="001A1529">
      <w:pPr>
        <w:spacing w:after="0" w:line="240" w:lineRule="auto"/>
        <w:ind w:left="360"/>
        <w:contextualSpacing/>
        <w:jc w:val="both"/>
        <w:rPr>
          <w:rFonts w:ascii="Times New Roman" w:hAnsi="Times New Roman"/>
          <w:sz w:val="20"/>
          <w:szCs w:val="20"/>
        </w:rPr>
      </w:pPr>
      <w:r w:rsidRPr="000E2E6A">
        <w:rPr>
          <w:rFonts w:ascii="Times New Roman" w:hAnsi="Times New Roman"/>
          <w:sz w:val="20"/>
          <w:szCs w:val="20"/>
        </w:rPr>
        <w:t xml:space="preserve">1) Признания заявки на участие в электронной закупке несоответствующей требованиям настоящей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 </w:t>
      </w:r>
    </w:p>
    <w:p w:rsidR="001A1529" w:rsidRDefault="000E2E6A" w:rsidP="001A1529">
      <w:pPr>
        <w:spacing w:after="0" w:line="240" w:lineRule="auto"/>
        <w:ind w:left="360"/>
        <w:contextualSpacing/>
        <w:jc w:val="both"/>
        <w:rPr>
          <w:rFonts w:ascii="Times New Roman" w:hAnsi="Times New Roman"/>
          <w:sz w:val="20"/>
          <w:szCs w:val="20"/>
        </w:rPr>
      </w:pPr>
      <w:r w:rsidRPr="000E2E6A">
        <w:rPr>
          <w:rFonts w:ascii="Times New Roman" w:hAnsi="Times New Roman"/>
          <w:sz w:val="20"/>
          <w:szCs w:val="20"/>
        </w:rPr>
        <w:t xml:space="preserve">2) Если потенциальный поставщик является </w:t>
      </w:r>
      <w:proofErr w:type="spellStart"/>
      <w:r w:rsidRPr="000E2E6A">
        <w:rPr>
          <w:rFonts w:ascii="Times New Roman" w:hAnsi="Times New Roman"/>
          <w:sz w:val="20"/>
          <w:szCs w:val="20"/>
        </w:rPr>
        <w:t>аффилиированным</w:t>
      </w:r>
      <w:proofErr w:type="spellEnd"/>
      <w:r w:rsidRPr="000E2E6A">
        <w:rPr>
          <w:rFonts w:ascii="Times New Roman" w:hAnsi="Times New Roman"/>
          <w:sz w:val="20"/>
          <w:szCs w:val="20"/>
        </w:rPr>
        <w:t xml:space="preserve"> лицом другого потенциального поставщика, подавшего заявку на участие в данном тендере (лоте); </w:t>
      </w:r>
    </w:p>
    <w:p w:rsidR="001A1529" w:rsidRDefault="000E2E6A" w:rsidP="001A1529">
      <w:pPr>
        <w:spacing w:after="0" w:line="240" w:lineRule="auto"/>
        <w:ind w:left="360"/>
        <w:contextualSpacing/>
        <w:jc w:val="both"/>
        <w:rPr>
          <w:rFonts w:ascii="Times New Roman" w:hAnsi="Times New Roman"/>
          <w:sz w:val="20"/>
          <w:szCs w:val="20"/>
        </w:rPr>
      </w:pPr>
      <w:r w:rsidRPr="000E2E6A">
        <w:rPr>
          <w:rFonts w:ascii="Times New Roman" w:hAnsi="Times New Roman"/>
          <w:sz w:val="20"/>
          <w:szCs w:val="20"/>
        </w:rPr>
        <w:t xml:space="preserve">3) Ценовое предложение потенциального поставщика превышает сумму, выделенную для закупки; </w:t>
      </w:r>
    </w:p>
    <w:p w:rsidR="001A1529" w:rsidRDefault="000E2E6A" w:rsidP="001A1529">
      <w:pPr>
        <w:spacing w:after="0" w:line="240" w:lineRule="auto"/>
        <w:ind w:left="360"/>
        <w:contextualSpacing/>
        <w:jc w:val="both"/>
        <w:rPr>
          <w:rFonts w:ascii="Times New Roman" w:hAnsi="Times New Roman"/>
          <w:sz w:val="20"/>
          <w:szCs w:val="20"/>
        </w:rPr>
      </w:pPr>
      <w:r w:rsidRPr="000E2E6A">
        <w:rPr>
          <w:rFonts w:ascii="Times New Roman" w:hAnsi="Times New Roman"/>
          <w:sz w:val="20"/>
          <w:szCs w:val="20"/>
        </w:rPr>
        <w:t xml:space="preserve">4) Ценовое предложение потенциального поставщика признано тендерной комиссией демпинговым; </w:t>
      </w:r>
    </w:p>
    <w:p w:rsidR="001A1529" w:rsidRDefault="000E2E6A" w:rsidP="001A1529">
      <w:pPr>
        <w:spacing w:after="0" w:line="240" w:lineRule="auto"/>
        <w:ind w:left="360"/>
        <w:contextualSpacing/>
        <w:jc w:val="both"/>
        <w:rPr>
          <w:rFonts w:ascii="Times New Roman" w:hAnsi="Times New Roman"/>
          <w:sz w:val="20"/>
          <w:szCs w:val="20"/>
        </w:rPr>
      </w:pPr>
      <w:proofErr w:type="gramStart"/>
      <w:r w:rsidRPr="000E2E6A">
        <w:rPr>
          <w:rFonts w:ascii="Times New Roman" w:hAnsi="Times New Roman"/>
          <w:sz w:val="20"/>
          <w:szCs w:val="20"/>
        </w:rPr>
        <w:t xml:space="preserve">5) 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0E2E6A">
        <w:rPr>
          <w:rFonts w:ascii="Times New Roman" w:hAnsi="Times New Roman"/>
          <w:sz w:val="20"/>
          <w:szCs w:val="20"/>
        </w:rPr>
        <w:t>лжепредприятий</w:t>
      </w:r>
      <w:proofErr w:type="spellEnd"/>
      <w:r w:rsidRPr="000E2E6A">
        <w:rPr>
          <w:rFonts w:ascii="Times New Roman" w:hAnsi="Times New Roman"/>
          <w:sz w:val="20"/>
          <w:szCs w:val="20"/>
        </w:rPr>
        <w:t xml:space="preserve"> и (или) в реестре недобросовестных участников закупок, предусмотренном законодательством Республики Казахстан о государственном имуществе, и (или) в Списке банкротов, в отношении которых решения суда о признании</w:t>
      </w:r>
      <w:proofErr w:type="gramEnd"/>
      <w:r w:rsidRPr="000E2E6A">
        <w:rPr>
          <w:rFonts w:ascii="Times New Roman" w:hAnsi="Times New Roman"/>
          <w:sz w:val="20"/>
          <w:szCs w:val="20"/>
        </w:rPr>
        <w:t xml:space="preserve"> их банкротами вступили в законную силу; </w:t>
      </w:r>
    </w:p>
    <w:p w:rsidR="001A1529" w:rsidRDefault="000E2E6A" w:rsidP="001A1529">
      <w:pPr>
        <w:spacing w:after="0" w:line="240" w:lineRule="auto"/>
        <w:ind w:left="360"/>
        <w:contextualSpacing/>
        <w:jc w:val="both"/>
        <w:rPr>
          <w:rFonts w:ascii="Times New Roman" w:hAnsi="Times New Roman"/>
          <w:sz w:val="20"/>
          <w:szCs w:val="20"/>
        </w:rPr>
      </w:pPr>
      <w:r w:rsidRPr="000E2E6A">
        <w:rPr>
          <w:rFonts w:ascii="Times New Roman" w:hAnsi="Times New Roman"/>
          <w:sz w:val="20"/>
          <w:szCs w:val="20"/>
        </w:rPr>
        <w:t xml:space="preserve">6)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в </w:t>
      </w:r>
      <w:proofErr w:type="gramStart"/>
      <w:r w:rsidRPr="000E2E6A">
        <w:rPr>
          <w:rFonts w:ascii="Times New Roman" w:hAnsi="Times New Roman"/>
          <w:sz w:val="20"/>
          <w:szCs w:val="20"/>
        </w:rPr>
        <w:t>порядке</w:t>
      </w:r>
      <w:proofErr w:type="gramEnd"/>
      <w:r w:rsidRPr="000E2E6A">
        <w:rPr>
          <w:rFonts w:ascii="Times New Roman" w:hAnsi="Times New Roman"/>
          <w:sz w:val="20"/>
          <w:szCs w:val="20"/>
        </w:rPr>
        <w:t xml:space="preserve"> установленном законодательством Республики Казахстан. Указанные основания для отклонения заявок на участие в тендере потенциальных поставщиков являются исчерпывающими. </w:t>
      </w:r>
    </w:p>
    <w:p w:rsidR="00301B45" w:rsidRPr="00301B45" w:rsidRDefault="00301B45" w:rsidP="00301B45">
      <w:pPr>
        <w:pStyle w:val="a7"/>
        <w:numPr>
          <w:ilvl w:val="1"/>
          <w:numId w:val="1"/>
        </w:numPr>
        <w:spacing w:line="0" w:lineRule="atLeast"/>
        <w:rPr>
          <w:sz w:val="20"/>
          <w:szCs w:val="20"/>
        </w:rPr>
      </w:pPr>
      <w:r w:rsidRPr="00301B45">
        <w:rPr>
          <w:sz w:val="20"/>
          <w:szCs w:val="20"/>
        </w:rPr>
        <w:t>Ценовое предложение, в том числе дополнительное ценовое предложение на понижение цены, признаётся демпинговым в следующих случаях:</w:t>
      </w:r>
    </w:p>
    <w:p w:rsidR="00301B45" w:rsidRDefault="00301B45" w:rsidP="00301B45">
      <w:pPr>
        <w:pStyle w:val="a7"/>
        <w:numPr>
          <w:ilvl w:val="0"/>
          <w:numId w:val="13"/>
        </w:numPr>
        <w:spacing w:line="0" w:lineRule="atLeast"/>
        <w:rPr>
          <w:sz w:val="20"/>
          <w:szCs w:val="20"/>
        </w:rPr>
      </w:pPr>
      <w:r w:rsidRPr="00301B45">
        <w:rPr>
          <w:sz w:val="20"/>
          <w:szCs w:val="20"/>
        </w:rPr>
        <w:t xml:space="preserve">ценовое предложение на товары признаётся демпинговым, если оно более чем на 20 (двадцать) процентов ниже суммы, предусмотренной для закупки в плане закупок без учета НДС. Не отклоненные Заявки </w:t>
      </w:r>
      <w:r w:rsidRPr="00301B45">
        <w:rPr>
          <w:sz w:val="20"/>
          <w:szCs w:val="20"/>
        </w:rPr>
        <w:lastRenderedPageBreak/>
        <w:t>оцениваются и сопоставляются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Style w:val="af0"/>
        <w:tblW w:w="0" w:type="auto"/>
        <w:jc w:val="center"/>
        <w:tblInd w:w="365" w:type="dxa"/>
        <w:tblLayout w:type="fixed"/>
        <w:tblLook w:val="04A0"/>
      </w:tblPr>
      <w:tblGrid>
        <w:gridCol w:w="466"/>
        <w:gridCol w:w="7396"/>
        <w:gridCol w:w="2140"/>
      </w:tblGrid>
      <w:tr w:rsidR="00301B45" w:rsidRPr="00301B45" w:rsidTr="00301B45">
        <w:trPr>
          <w:trHeight w:val="555"/>
          <w:jc w:val="center"/>
        </w:trPr>
        <w:tc>
          <w:tcPr>
            <w:tcW w:w="466" w:type="dxa"/>
            <w:vAlign w:val="center"/>
          </w:tcPr>
          <w:p w:rsidR="00301B45" w:rsidRPr="00301B45" w:rsidRDefault="00301B45" w:rsidP="00301B45">
            <w:pPr>
              <w:pStyle w:val="a7"/>
              <w:spacing w:line="0" w:lineRule="atLeast"/>
              <w:ind w:left="75"/>
              <w:jc w:val="center"/>
              <w:rPr>
                <w:b/>
                <w:sz w:val="20"/>
                <w:szCs w:val="20"/>
              </w:rPr>
            </w:pPr>
            <w:r>
              <w:rPr>
                <w:b/>
                <w:sz w:val="20"/>
                <w:szCs w:val="20"/>
              </w:rPr>
              <w:t>№</w:t>
            </w:r>
          </w:p>
        </w:tc>
        <w:tc>
          <w:tcPr>
            <w:tcW w:w="7396" w:type="dxa"/>
            <w:vAlign w:val="center"/>
          </w:tcPr>
          <w:p w:rsidR="00301B45" w:rsidRPr="00301B45" w:rsidRDefault="00301B45" w:rsidP="00301B45">
            <w:pPr>
              <w:pStyle w:val="a7"/>
              <w:spacing w:line="0" w:lineRule="atLeast"/>
              <w:ind w:left="720"/>
              <w:jc w:val="left"/>
              <w:rPr>
                <w:b/>
                <w:sz w:val="20"/>
                <w:szCs w:val="20"/>
              </w:rPr>
            </w:pPr>
            <w:r w:rsidRPr="00301B45">
              <w:rPr>
                <w:b/>
                <w:sz w:val="20"/>
                <w:szCs w:val="20"/>
              </w:rPr>
              <w:t>Критерий</w:t>
            </w:r>
          </w:p>
        </w:tc>
        <w:tc>
          <w:tcPr>
            <w:tcW w:w="2140" w:type="dxa"/>
            <w:vAlign w:val="center"/>
          </w:tcPr>
          <w:p w:rsidR="00301B45" w:rsidRPr="00301B45" w:rsidRDefault="00301B45" w:rsidP="00301B45">
            <w:pPr>
              <w:pStyle w:val="a7"/>
              <w:spacing w:line="0" w:lineRule="atLeast"/>
              <w:ind w:left="9"/>
              <w:jc w:val="center"/>
              <w:rPr>
                <w:b/>
                <w:sz w:val="20"/>
                <w:szCs w:val="20"/>
              </w:rPr>
            </w:pPr>
            <w:r w:rsidRPr="00301B45">
              <w:rPr>
                <w:b/>
                <w:sz w:val="20"/>
                <w:szCs w:val="20"/>
              </w:rPr>
              <w:t>Условное понижение цены</w:t>
            </w:r>
          </w:p>
        </w:tc>
      </w:tr>
      <w:tr w:rsidR="00301B45" w:rsidRPr="00301B45" w:rsidTr="00301B45">
        <w:trPr>
          <w:jc w:val="center"/>
        </w:trPr>
        <w:tc>
          <w:tcPr>
            <w:tcW w:w="466" w:type="dxa"/>
            <w:vAlign w:val="center"/>
          </w:tcPr>
          <w:p w:rsidR="00301B45" w:rsidRPr="00301B45" w:rsidRDefault="00301B45" w:rsidP="00301B45">
            <w:pPr>
              <w:pStyle w:val="a7"/>
              <w:spacing w:line="0" w:lineRule="atLeast"/>
              <w:ind w:left="75"/>
              <w:jc w:val="left"/>
              <w:rPr>
                <w:sz w:val="20"/>
                <w:szCs w:val="20"/>
                <w:lang w:val="en-US"/>
              </w:rPr>
            </w:pPr>
            <w:r w:rsidRPr="00301B45">
              <w:rPr>
                <w:sz w:val="20"/>
                <w:szCs w:val="20"/>
                <w:lang w:val="en-US"/>
              </w:rPr>
              <w:t>1</w:t>
            </w:r>
          </w:p>
        </w:tc>
        <w:tc>
          <w:tcPr>
            <w:tcW w:w="7396" w:type="dxa"/>
          </w:tcPr>
          <w:p w:rsidR="00301B45" w:rsidRPr="00301B45" w:rsidRDefault="00301B45" w:rsidP="00301B45">
            <w:pPr>
              <w:pStyle w:val="a7"/>
              <w:spacing w:line="0" w:lineRule="atLeast"/>
              <w:ind w:left="0"/>
              <w:rPr>
                <w:sz w:val="20"/>
                <w:szCs w:val="20"/>
              </w:rPr>
            </w:pPr>
            <w:r w:rsidRPr="00301B45">
              <w:rPr>
                <w:sz w:val="20"/>
                <w:szCs w:val="20"/>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140" w:type="dxa"/>
          </w:tcPr>
          <w:p w:rsidR="00301B45" w:rsidRPr="00301B45" w:rsidRDefault="00301B45" w:rsidP="00301B45">
            <w:pPr>
              <w:pStyle w:val="a7"/>
              <w:spacing w:line="0" w:lineRule="atLeast"/>
              <w:ind w:left="9"/>
              <w:rPr>
                <w:sz w:val="20"/>
                <w:szCs w:val="20"/>
              </w:rPr>
            </w:pPr>
            <w:r w:rsidRPr="00301B45">
              <w:rPr>
                <w:sz w:val="20"/>
                <w:szCs w:val="20"/>
              </w:rPr>
              <w:t>-5%</w:t>
            </w:r>
          </w:p>
        </w:tc>
      </w:tr>
      <w:tr w:rsidR="00301B45" w:rsidRPr="00301B45" w:rsidTr="00301B45">
        <w:trPr>
          <w:jc w:val="center"/>
        </w:trPr>
        <w:tc>
          <w:tcPr>
            <w:tcW w:w="466" w:type="dxa"/>
            <w:vAlign w:val="center"/>
          </w:tcPr>
          <w:p w:rsidR="00301B45" w:rsidRPr="00301B45" w:rsidRDefault="00301B45" w:rsidP="00301B45">
            <w:pPr>
              <w:pStyle w:val="a7"/>
              <w:spacing w:line="0" w:lineRule="atLeast"/>
              <w:ind w:left="75"/>
              <w:jc w:val="left"/>
              <w:rPr>
                <w:sz w:val="20"/>
                <w:szCs w:val="20"/>
                <w:lang w:val="en-US"/>
              </w:rPr>
            </w:pPr>
            <w:r w:rsidRPr="00301B45">
              <w:rPr>
                <w:sz w:val="20"/>
                <w:szCs w:val="20"/>
                <w:lang w:val="en-US"/>
              </w:rPr>
              <w:t>2</w:t>
            </w:r>
          </w:p>
        </w:tc>
        <w:tc>
          <w:tcPr>
            <w:tcW w:w="7396" w:type="dxa"/>
          </w:tcPr>
          <w:p w:rsidR="00301B45" w:rsidRPr="00301B45" w:rsidRDefault="00301B45" w:rsidP="00301B45">
            <w:pPr>
              <w:pStyle w:val="a7"/>
              <w:spacing w:line="0" w:lineRule="atLeast"/>
              <w:ind w:left="0"/>
              <w:rPr>
                <w:sz w:val="20"/>
                <w:szCs w:val="20"/>
              </w:rPr>
            </w:pPr>
            <w:r w:rsidRPr="00301B45">
              <w:rPr>
                <w:sz w:val="20"/>
                <w:szCs w:val="20"/>
              </w:rPr>
              <w:t xml:space="preserve">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электронными копиями накладных, соответствующих актов, подтверждающих прием-передачу поставленных товаров, выполненных работ, оказанных услуг. В </w:t>
            </w:r>
            <w:proofErr w:type="gramStart"/>
            <w:r w:rsidRPr="00301B45">
              <w:rPr>
                <w:sz w:val="20"/>
                <w:szCs w:val="20"/>
              </w:rPr>
              <w:t>случае</w:t>
            </w:r>
            <w:proofErr w:type="gramEnd"/>
            <w:r w:rsidRPr="00301B45">
              <w:rPr>
                <w:sz w:val="20"/>
                <w:szCs w:val="20"/>
              </w:rPr>
              <w:t xml:space="preserve"> наличия в тендерной документации требования, предусмотренного подпунктом 4) Приложения № 5 Стандарта данный критерий не применяется</w:t>
            </w:r>
          </w:p>
        </w:tc>
        <w:tc>
          <w:tcPr>
            <w:tcW w:w="2140" w:type="dxa"/>
          </w:tcPr>
          <w:p w:rsidR="00301B45" w:rsidRPr="00301B45" w:rsidRDefault="00301B45" w:rsidP="00301B45">
            <w:pPr>
              <w:pStyle w:val="a7"/>
              <w:spacing w:line="0" w:lineRule="atLeast"/>
              <w:ind w:left="9"/>
              <w:rPr>
                <w:sz w:val="20"/>
                <w:szCs w:val="20"/>
              </w:rPr>
            </w:pPr>
            <w:r w:rsidRPr="00301B45">
              <w:rPr>
                <w:sz w:val="20"/>
                <w:szCs w:val="20"/>
              </w:rPr>
              <w:t>-1,5% за 3 года опыта работы и 0,5% за каждый последующий 1 год работы, но не более 2,5%</w:t>
            </w:r>
          </w:p>
        </w:tc>
      </w:tr>
      <w:tr w:rsidR="00301B45" w:rsidRPr="00301B45" w:rsidTr="00301B45">
        <w:trPr>
          <w:jc w:val="center"/>
        </w:trPr>
        <w:tc>
          <w:tcPr>
            <w:tcW w:w="466" w:type="dxa"/>
            <w:vAlign w:val="center"/>
          </w:tcPr>
          <w:p w:rsidR="00301B45" w:rsidRPr="00301B45" w:rsidRDefault="00301B45" w:rsidP="00301B45">
            <w:pPr>
              <w:pStyle w:val="a7"/>
              <w:spacing w:line="0" w:lineRule="atLeast"/>
              <w:ind w:left="75"/>
              <w:jc w:val="left"/>
              <w:rPr>
                <w:sz w:val="20"/>
                <w:szCs w:val="20"/>
                <w:lang w:val="en-US"/>
              </w:rPr>
            </w:pPr>
            <w:r w:rsidRPr="00301B45">
              <w:rPr>
                <w:sz w:val="20"/>
                <w:szCs w:val="20"/>
                <w:lang w:val="en-US"/>
              </w:rPr>
              <w:t>3</w:t>
            </w:r>
          </w:p>
        </w:tc>
        <w:tc>
          <w:tcPr>
            <w:tcW w:w="7396" w:type="dxa"/>
          </w:tcPr>
          <w:p w:rsidR="00301B45" w:rsidRPr="00301B45" w:rsidRDefault="00301B45" w:rsidP="00301B45">
            <w:pPr>
              <w:pStyle w:val="a7"/>
              <w:spacing w:line="0" w:lineRule="atLeast"/>
              <w:ind w:left="0"/>
              <w:rPr>
                <w:sz w:val="20"/>
                <w:szCs w:val="20"/>
              </w:rPr>
            </w:pPr>
            <w:r w:rsidRPr="00301B45">
              <w:rPr>
                <w:sz w:val="20"/>
                <w:szCs w:val="20"/>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2140" w:type="dxa"/>
          </w:tcPr>
          <w:p w:rsidR="00301B45" w:rsidRPr="00301B45" w:rsidRDefault="00301B45" w:rsidP="00301B45">
            <w:pPr>
              <w:pStyle w:val="a7"/>
              <w:spacing w:line="0" w:lineRule="atLeast"/>
              <w:ind w:left="9"/>
              <w:rPr>
                <w:sz w:val="20"/>
                <w:szCs w:val="20"/>
              </w:rPr>
            </w:pPr>
            <w:r w:rsidRPr="00301B45">
              <w:rPr>
                <w:sz w:val="20"/>
                <w:szCs w:val="20"/>
              </w:rPr>
              <w:t>-1%</w:t>
            </w:r>
          </w:p>
        </w:tc>
      </w:tr>
      <w:tr w:rsidR="00301B45" w:rsidRPr="00301B45" w:rsidTr="00301B45">
        <w:trPr>
          <w:jc w:val="center"/>
        </w:trPr>
        <w:tc>
          <w:tcPr>
            <w:tcW w:w="466" w:type="dxa"/>
            <w:vAlign w:val="center"/>
          </w:tcPr>
          <w:p w:rsidR="00301B45" w:rsidRPr="00301B45" w:rsidRDefault="00301B45" w:rsidP="00301B45">
            <w:pPr>
              <w:pStyle w:val="a7"/>
              <w:spacing w:line="0" w:lineRule="atLeast"/>
              <w:ind w:left="75"/>
              <w:jc w:val="left"/>
              <w:rPr>
                <w:sz w:val="20"/>
                <w:szCs w:val="20"/>
                <w:lang w:val="en-US"/>
              </w:rPr>
            </w:pPr>
            <w:r w:rsidRPr="00301B45">
              <w:rPr>
                <w:sz w:val="20"/>
                <w:szCs w:val="20"/>
                <w:lang w:val="en-US"/>
              </w:rPr>
              <w:t>4</w:t>
            </w:r>
          </w:p>
        </w:tc>
        <w:tc>
          <w:tcPr>
            <w:tcW w:w="7396" w:type="dxa"/>
          </w:tcPr>
          <w:p w:rsidR="00301B45" w:rsidRPr="00301B45" w:rsidRDefault="00301B45" w:rsidP="00301B45">
            <w:pPr>
              <w:pStyle w:val="a7"/>
              <w:spacing w:line="0" w:lineRule="atLeast"/>
              <w:ind w:left="0"/>
              <w:rPr>
                <w:sz w:val="20"/>
                <w:szCs w:val="20"/>
              </w:rPr>
            </w:pPr>
            <w:r w:rsidRPr="00301B45">
              <w:rPr>
                <w:sz w:val="20"/>
                <w:szCs w:val="20"/>
              </w:rPr>
              <w:t>Наличие у потенциального поставщика в тендерной заявке гарантийного письма о сохранении имеющихся рабочих мест, занятых гражданами Республики Казахстан, на территории Республики Казахстан</w:t>
            </w:r>
          </w:p>
        </w:tc>
        <w:tc>
          <w:tcPr>
            <w:tcW w:w="2140" w:type="dxa"/>
          </w:tcPr>
          <w:p w:rsidR="00301B45" w:rsidRPr="00301B45" w:rsidRDefault="00301B45" w:rsidP="00301B45">
            <w:pPr>
              <w:pStyle w:val="a7"/>
              <w:spacing w:line="0" w:lineRule="atLeast"/>
              <w:ind w:left="-33"/>
              <w:rPr>
                <w:sz w:val="20"/>
                <w:szCs w:val="20"/>
              </w:rPr>
            </w:pPr>
            <w:r w:rsidRPr="00301B45">
              <w:rPr>
                <w:sz w:val="20"/>
                <w:szCs w:val="20"/>
              </w:rPr>
              <w:t>3% за 5 рабочих мест,</w:t>
            </w:r>
          </w:p>
          <w:p w:rsidR="00301B45" w:rsidRPr="00301B45" w:rsidRDefault="00301B45" w:rsidP="00301B45">
            <w:pPr>
              <w:pStyle w:val="a7"/>
              <w:spacing w:line="0" w:lineRule="atLeast"/>
              <w:ind w:left="0"/>
              <w:rPr>
                <w:sz w:val="20"/>
                <w:szCs w:val="20"/>
              </w:rPr>
            </w:pPr>
            <w:r w:rsidRPr="00301B45">
              <w:rPr>
                <w:sz w:val="20"/>
                <w:szCs w:val="20"/>
              </w:rPr>
              <w:t>0,4% за каждое</w:t>
            </w:r>
            <w:r>
              <w:rPr>
                <w:sz w:val="20"/>
                <w:szCs w:val="20"/>
              </w:rPr>
              <w:t xml:space="preserve"> </w:t>
            </w:r>
            <w:r w:rsidRPr="00301B45">
              <w:rPr>
                <w:sz w:val="20"/>
                <w:szCs w:val="20"/>
              </w:rPr>
              <w:t>последующее 1 рабочее</w:t>
            </w:r>
            <w:r>
              <w:rPr>
                <w:sz w:val="20"/>
                <w:szCs w:val="20"/>
              </w:rPr>
              <w:t xml:space="preserve"> </w:t>
            </w:r>
            <w:r w:rsidRPr="00301B45">
              <w:rPr>
                <w:sz w:val="20"/>
                <w:szCs w:val="20"/>
              </w:rPr>
              <w:t>место до 10 рабочих мест</w:t>
            </w:r>
            <w:r>
              <w:rPr>
                <w:sz w:val="20"/>
                <w:szCs w:val="20"/>
              </w:rPr>
              <w:t xml:space="preserve"> </w:t>
            </w:r>
            <w:r w:rsidRPr="00301B45">
              <w:rPr>
                <w:sz w:val="20"/>
                <w:szCs w:val="20"/>
              </w:rPr>
              <w:t>и 0,5% за каждое</w:t>
            </w:r>
            <w:r>
              <w:rPr>
                <w:sz w:val="20"/>
                <w:szCs w:val="20"/>
              </w:rPr>
              <w:t xml:space="preserve"> </w:t>
            </w:r>
            <w:r w:rsidRPr="00301B45">
              <w:rPr>
                <w:sz w:val="20"/>
                <w:szCs w:val="20"/>
              </w:rPr>
              <w:t>последующее 1 рабочее</w:t>
            </w:r>
            <w:r>
              <w:rPr>
                <w:sz w:val="20"/>
                <w:szCs w:val="20"/>
              </w:rPr>
              <w:t xml:space="preserve"> </w:t>
            </w:r>
            <w:r w:rsidRPr="00301B45">
              <w:rPr>
                <w:sz w:val="20"/>
                <w:szCs w:val="20"/>
              </w:rPr>
              <w:t>место, но не более 10%</w:t>
            </w:r>
          </w:p>
        </w:tc>
      </w:tr>
    </w:tbl>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proofErr w:type="gramStart"/>
      <w:r w:rsidRPr="00301B45">
        <w:rPr>
          <w:rFonts w:ascii="Times New Roman" w:hAnsi="Times New Roman"/>
          <w:sz w:val="20"/>
          <w:szCs w:val="20"/>
        </w:rPr>
        <w:t xml:space="preserve">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 </w:t>
      </w:r>
      <w:proofErr w:type="gramEnd"/>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proofErr w:type="gramStart"/>
      <w:r w:rsidRPr="00301B45">
        <w:rPr>
          <w:rFonts w:ascii="Times New Roman" w:hAnsi="Times New Roman"/>
          <w:sz w:val="20"/>
          <w:szCs w:val="20"/>
        </w:rPr>
        <w:t>В случае участия в электронной закупке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roofErr w:type="gramEnd"/>
    </w:p>
    <w:p w:rsidR="00F05820" w:rsidRDefault="00F05820" w:rsidP="00F05820">
      <w:pPr>
        <w:pStyle w:val="a7"/>
        <w:spacing w:line="240" w:lineRule="auto"/>
        <w:ind w:left="720"/>
        <w:contextualSpacing/>
        <w:rPr>
          <w:sz w:val="20"/>
          <w:szCs w:val="20"/>
        </w:rPr>
      </w:pPr>
    </w:p>
    <w:p w:rsidR="00301B45" w:rsidRPr="00301B45" w:rsidRDefault="00301B45" w:rsidP="00301B45">
      <w:pPr>
        <w:numPr>
          <w:ilvl w:val="0"/>
          <w:numId w:val="1"/>
        </w:numPr>
        <w:spacing w:after="0" w:line="240" w:lineRule="auto"/>
        <w:contextualSpacing/>
        <w:jc w:val="both"/>
        <w:rPr>
          <w:rFonts w:ascii="Times New Roman" w:hAnsi="Times New Roman"/>
          <w:b/>
          <w:sz w:val="20"/>
          <w:szCs w:val="20"/>
        </w:rPr>
      </w:pPr>
      <w:r w:rsidRPr="00301B45">
        <w:rPr>
          <w:rFonts w:ascii="Times New Roman" w:hAnsi="Times New Roman"/>
          <w:b/>
          <w:sz w:val="20"/>
          <w:szCs w:val="20"/>
        </w:rPr>
        <w:t>Подведение итогов</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r w:rsidRPr="00301B45">
        <w:rPr>
          <w:rFonts w:ascii="Times New Roman" w:hAnsi="Times New Roman"/>
          <w:sz w:val="20"/>
          <w:szCs w:val="20"/>
        </w:rPr>
        <w:t xml:space="preserve">Итоги электронных закупок способом открытого тендера оформляются протоколом итогов, который формируется секретарем тендерной комиссии в Системе.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r w:rsidRPr="00301B45">
        <w:rPr>
          <w:rFonts w:ascii="Times New Roman" w:hAnsi="Times New Roman"/>
          <w:sz w:val="20"/>
          <w:szCs w:val="20"/>
        </w:rPr>
        <w:t xml:space="preserve">Победитель электронных закупок определяется на основе наименьшей условной цены, рассчитываемой с учётом применения критериев, содержащихся в тендерной документации. 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r w:rsidRPr="00301B45">
        <w:rPr>
          <w:rFonts w:ascii="Times New Roman" w:hAnsi="Times New Roman"/>
          <w:sz w:val="20"/>
          <w:szCs w:val="20"/>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предварительно квалифицированный потенциальный поставщик.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r w:rsidRPr="00301B45">
        <w:rPr>
          <w:rFonts w:ascii="Times New Roman" w:hAnsi="Times New Roman"/>
          <w:sz w:val="20"/>
          <w:szCs w:val="20"/>
        </w:rPr>
        <w:t xml:space="preserve">При закупке товаров при равенстве условных цен тендерных ценовых предложений предварительно квалифицированных потенциальных поставщиков (либо их отсутствии), победителем (или потенциальным поставщиком, занявшим по итогам оценки и сопоставления второе место) признается товаропроизводитель закупаемого товара, состоящий в Реестре товаропроизводителей Холдинга.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proofErr w:type="gramStart"/>
      <w:r w:rsidRPr="00301B45">
        <w:rPr>
          <w:rFonts w:ascii="Times New Roman" w:hAnsi="Times New Roman"/>
          <w:sz w:val="20"/>
          <w:szCs w:val="20"/>
        </w:rPr>
        <w:t>При закупке товаров при равенстве условных цен тендерных ценовых предложений товаропроизводителей закупаемого товара, состоящих в Реестре товаропроизводителей Холдинга (их отсутствии) либо при закупках работ или услуг при равенстве условных цен тендерных ценовых предложений предварительно квалифицированных потенциальных поставщиков (либо их отсутствии),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w:t>
      </w:r>
      <w:proofErr w:type="gramEnd"/>
      <w:r w:rsidRPr="00301B45">
        <w:rPr>
          <w:rFonts w:ascii="Times New Roman" w:hAnsi="Times New Roman"/>
          <w:sz w:val="20"/>
          <w:szCs w:val="20"/>
        </w:rPr>
        <w:t xml:space="preserve"> </w:t>
      </w:r>
      <w:proofErr w:type="gramStart"/>
      <w:r w:rsidRPr="00301B45">
        <w:rPr>
          <w:rFonts w:ascii="Times New Roman" w:hAnsi="Times New Roman"/>
          <w:sz w:val="20"/>
          <w:szCs w:val="20"/>
        </w:rPr>
        <w:t>рынке</w:t>
      </w:r>
      <w:proofErr w:type="gramEnd"/>
      <w:r w:rsidRPr="00301B45">
        <w:rPr>
          <w:rFonts w:ascii="Times New Roman" w:hAnsi="Times New Roman"/>
          <w:sz w:val="20"/>
          <w:szCs w:val="20"/>
        </w:rPr>
        <w:t xml:space="preserve"> закупаемых товаров, работ, услуг, являющихся предметом открытого тендера.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proofErr w:type="gramStart"/>
      <w:r w:rsidRPr="00301B45">
        <w:rPr>
          <w:rFonts w:ascii="Times New Roman" w:hAnsi="Times New Roman"/>
          <w:sz w:val="20"/>
          <w:szCs w:val="20"/>
        </w:rPr>
        <w:t>При закупке товаров при равенстве условных цен тендерных ценовых предложений товаропроизводителей закупаемого товара, состоящих в Реестре товаропроизводителей Холдинга (их отсутствии) либо при закупках работ или услуг при равенстве условных цен тендерных ценовых предложений предварительно квалифицированных потенциальных поставщиков (либо их отсутствии) и равном опыте работы на рынке закупаемых товаров, работ, услуг (или в случае невозможности определения опыта работы на основании представленных</w:t>
      </w:r>
      <w:proofErr w:type="gramEnd"/>
      <w:r w:rsidRPr="00301B45">
        <w:rPr>
          <w:rFonts w:ascii="Times New Roman" w:hAnsi="Times New Roman"/>
          <w:sz w:val="20"/>
          <w:szCs w:val="20"/>
        </w:rPr>
        <w:t xml:space="preserve"> потенциальным поставщиком документов), победителем (или потенциальным поставщиком, </w:t>
      </w:r>
      <w:r w:rsidRPr="00301B45">
        <w:rPr>
          <w:rFonts w:ascii="Times New Roman" w:hAnsi="Times New Roman"/>
          <w:sz w:val="20"/>
          <w:szCs w:val="20"/>
        </w:rPr>
        <w:lastRenderedPageBreak/>
        <w:t xml:space="preserve">занявшим по итогам оценки и сопоставления второе место) признается потенциальный поставщик, ранее предоставивший тендерную заявку. </w:t>
      </w:r>
    </w:p>
    <w:p w:rsidR="00301B45" w:rsidRPr="00301B45" w:rsidRDefault="00301B45" w:rsidP="00301B45">
      <w:pPr>
        <w:numPr>
          <w:ilvl w:val="1"/>
          <w:numId w:val="1"/>
        </w:numPr>
        <w:spacing w:after="0" w:line="240" w:lineRule="auto"/>
        <w:contextualSpacing/>
        <w:jc w:val="both"/>
        <w:rPr>
          <w:rFonts w:ascii="Times New Roman" w:hAnsi="Times New Roman"/>
          <w:sz w:val="20"/>
          <w:szCs w:val="20"/>
        </w:rPr>
      </w:pPr>
      <w:r w:rsidRPr="00301B45">
        <w:rPr>
          <w:rFonts w:ascii="Times New Roman" w:hAnsi="Times New Roman"/>
          <w:sz w:val="20"/>
          <w:szCs w:val="20"/>
        </w:rPr>
        <w:t xml:space="preserve">В </w:t>
      </w:r>
      <w:proofErr w:type="gramStart"/>
      <w:r w:rsidRPr="00301B45">
        <w:rPr>
          <w:rFonts w:ascii="Times New Roman" w:hAnsi="Times New Roman"/>
          <w:sz w:val="20"/>
          <w:szCs w:val="20"/>
        </w:rPr>
        <w:t>случае</w:t>
      </w:r>
      <w:proofErr w:type="gramEnd"/>
      <w:r w:rsidRPr="00301B45">
        <w:rPr>
          <w:rFonts w:ascii="Times New Roman" w:hAnsi="Times New Roman"/>
          <w:sz w:val="20"/>
          <w:szCs w:val="20"/>
        </w:rPr>
        <w:t xml:space="preserve"> предоставления одной тендерной заявки, тендерная комиссия вправе признать закупку состоявшейся при условии соответствия тендерной заявки требованиям тендерной документации. В данном </w:t>
      </w:r>
      <w:proofErr w:type="gramStart"/>
      <w:r w:rsidRPr="00301B45">
        <w:rPr>
          <w:rFonts w:ascii="Times New Roman" w:hAnsi="Times New Roman"/>
          <w:sz w:val="20"/>
          <w:szCs w:val="20"/>
        </w:rPr>
        <w:t>случае</w:t>
      </w:r>
      <w:proofErr w:type="gramEnd"/>
      <w:r w:rsidRPr="00301B45">
        <w:rPr>
          <w:rFonts w:ascii="Times New Roman" w:hAnsi="Times New Roman"/>
          <w:sz w:val="20"/>
          <w:szCs w:val="20"/>
        </w:rPr>
        <w:t xml:space="preserve"> победителем признается потенциальный поставщик, предоставивший тендерную заявку. При этом потенциальный поставщик, предоставивший единственную тендерную заявку, вправе до подведения итогов подать дополнительное ценовое предложение на понижение цены в течени</w:t>
      </w:r>
      <w:proofErr w:type="gramStart"/>
      <w:r w:rsidRPr="00301B45">
        <w:rPr>
          <w:rFonts w:ascii="Times New Roman" w:hAnsi="Times New Roman"/>
          <w:sz w:val="20"/>
          <w:szCs w:val="20"/>
        </w:rPr>
        <w:t>и</w:t>
      </w:r>
      <w:proofErr w:type="gramEnd"/>
      <w:r w:rsidRPr="00301B45">
        <w:rPr>
          <w:rFonts w:ascii="Times New Roman" w:hAnsi="Times New Roman"/>
          <w:sz w:val="20"/>
          <w:szCs w:val="20"/>
        </w:rPr>
        <w:t xml:space="preserve"> 1 (одного) рабочего дня с даты публикации соответствующего протокола/протокола допуска (при закупках способом тендера на понижение). Тендерная комиссия принимает решение о признании тендера состоявшимся/несостоявшимся в течени</w:t>
      </w:r>
      <w:proofErr w:type="gramStart"/>
      <w:r w:rsidRPr="00301B45">
        <w:rPr>
          <w:rFonts w:ascii="Times New Roman" w:hAnsi="Times New Roman"/>
          <w:sz w:val="20"/>
          <w:szCs w:val="20"/>
        </w:rPr>
        <w:t>и</w:t>
      </w:r>
      <w:proofErr w:type="gramEnd"/>
      <w:r w:rsidRPr="00301B45">
        <w:rPr>
          <w:rFonts w:ascii="Times New Roman" w:hAnsi="Times New Roman"/>
          <w:sz w:val="20"/>
          <w:szCs w:val="20"/>
        </w:rPr>
        <w:t xml:space="preserve"> 2 (двух) рабочих дней со дня истечения срока, предусмотренного для подачи дополнительного ценового предложения на понижение цены.</w:t>
      </w:r>
    </w:p>
    <w:p w:rsidR="00301B45" w:rsidRPr="00301B45" w:rsidRDefault="00301B45" w:rsidP="00301B45">
      <w:pPr>
        <w:ind w:left="360"/>
        <w:contextualSpacing/>
        <w:jc w:val="both"/>
        <w:rPr>
          <w:rFonts w:ascii="Times New Roman" w:hAnsi="Times New Roman"/>
          <w:sz w:val="20"/>
          <w:szCs w:val="20"/>
        </w:rPr>
      </w:pPr>
    </w:p>
    <w:p w:rsidR="0091699B" w:rsidRPr="00301B45" w:rsidRDefault="0091699B" w:rsidP="0091699B">
      <w:pPr>
        <w:spacing w:after="0" w:line="240" w:lineRule="auto"/>
        <w:ind w:left="360"/>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заключения и изменения договора о закупках</w:t>
      </w:r>
    </w:p>
    <w:p w:rsidR="005B0538"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Договор о закупках в виде электронного документа заключается в Системе, в соответствии с содержащимся в тендерной документации проектом договора о закупках, в срок не более 7 (семи) рабочих дней, но не ранее чем через 3 (три) рабочих дня, следующего за днем публикации протокола итогов закупок. </w:t>
      </w:r>
    </w:p>
    <w:p w:rsidR="005B0538"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w:t>
      </w:r>
      <w:proofErr w:type="gramStart"/>
      <w:r w:rsidRPr="005B0538">
        <w:rPr>
          <w:rFonts w:ascii="Times New Roman" w:hAnsi="Times New Roman"/>
          <w:sz w:val="20"/>
          <w:szCs w:val="20"/>
        </w:rPr>
        <w:t>и</w:t>
      </w:r>
      <w:proofErr w:type="gramEnd"/>
      <w:r w:rsidRPr="005B0538">
        <w:rPr>
          <w:rFonts w:ascii="Times New Roman" w:hAnsi="Times New Roman"/>
          <w:sz w:val="20"/>
          <w:szCs w:val="20"/>
        </w:rPr>
        <w:t xml:space="preserve"> 1 (одного) рабочего дня с даты получения проекта договора. В </w:t>
      </w:r>
      <w:proofErr w:type="gramStart"/>
      <w:r w:rsidRPr="005B0538">
        <w:rPr>
          <w:rFonts w:ascii="Times New Roman" w:hAnsi="Times New Roman"/>
          <w:sz w:val="20"/>
          <w:szCs w:val="20"/>
        </w:rPr>
        <w:t>случае</w:t>
      </w:r>
      <w:proofErr w:type="gramEnd"/>
      <w:r w:rsidRPr="005B0538">
        <w:rPr>
          <w:rFonts w:ascii="Times New Roman" w:hAnsi="Times New Roman"/>
          <w:sz w:val="20"/>
          <w:szCs w:val="20"/>
        </w:rPr>
        <w:t xml:space="preserve">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 Победитель закупок обязан подписать договор в Системе в срок не более 2 (двух) рабочих дней со дня подписания его Заказчиком. </w:t>
      </w:r>
    </w:p>
    <w:p w:rsidR="005B0538"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В случае приостановления Уполномоченным органом по вопросам </w:t>
      </w:r>
      <w:proofErr w:type="gramStart"/>
      <w:r w:rsidRPr="005B0538">
        <w:rPr>
          <w:rFonts w:ascii="Times New Roman" w:hAnsi="Times New Roman"/>
          <w:sz w:val="20"/>
          <w:szCs w:val="20"/>
        </w:rPr>
        <w:t>осуществления закупок процесса заключения договора</w:t>
      </w:r>
      <w:proofErr w:type="gramEnd"/>
      <w:r w:rsidRPr="005B0538">
        <w:rPr>
          <w:rFonts w:ascii="Times New Roman" w:hAnsi="Times New Roman"/>
          <w:sz w:val="20"/>
          <w:szCs w:val="20"/>
        </w:rPr>
        <w:t xml:space="preserve"> о закупках, сроки, установленные пунктом </w:t>
      </w:r>
      <w:r>
        <w:rPr>
          <w:rFonts w:ascii="Times New Roman" w:hAnsi="Times New Roman"/>
          <w:sz w:val="20"/>
          <w:szCs w:val="20"/>
        </w:rPr>
        <w:t>8</w:t>
      </w:r>
      <w:r w:rsidRPr="005B0538">
        <w:rPr>
          <w:rFonts w:ascii="Times New Roman" w:hAnsi="Times New Roman"/>
          <w:sz w:val="20"/>
          <w:szCs w:val="20"/>
        </w:rPr>
        <w:t xml:space="preserve">.1. настоящей тендерной документации, продлеваются на количество календарных дней соразмерно сроку проведения внеплановой проверки. </w:t>
      </w:r>
      <w:proofErr w:type="gramStart"/>
      <w:r w:rsidRPr="005B0538">
        <w:rPr>
          <w:rFonts w:ascii="Times New Roman" w:hAnsi="Times New Roman"/>
          <w:sz w:val="20"/>
          <w:szCs w:val="20"/>
        </w:rPr>
        <w:t>В случае утверждения плана закупок или изменений и/или дополнений в план закупок (по товарам, работам, услугам, закупаемых по перечню первоочередных закупок) после подведения итогов закупок, срок заключения договора продлевается на количество дней, прошедших с даты подведения итогов до утверждения плана закупок или изменений и/или дополнений, но не более чем на 7 (семь) рабочих дней.</w:t>
      </w:r>
      <w:proofErr w:type="gramEnd"/>
    </w:p>
    <w:p w:rsidR="005B0538"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Договор в виде EPC-контрактов могут быть подписаны на бумажном носителе с последующей загрузкой в Систему электронной копии такого договора</w:t>
      </w:r>
      <w:r w:rsidR="00F5009B">
        <w:rPr>
          <w:rFonts w:ascii="Times New Roman" w:hAnsi="Times New Roman"/>
          <w:sz w:val="20"/>
          <w:szCs w:val="20"/>
        </w:rPr>
        <w:t xml:space="preserve"> </w:t>
      </w:r>
      <w:r w:rsidRPr="005B0538">
        <w:rPr>
          <w:rFonts w:ascii="Times New Roman" w:hAnsi="Times New Roman"/>
          <w:sz w:val="20"/>
          <w:szCs w:val="20"/>
        </w:rPr>
        <w:t xml:space="preserve">в срок не более 5 (пяти) рабочих дней </w:t>
      </w:r>
      <w:proofErr w:type="gramStart"/>
      <w:r w:rsidRPr="005B0538">
        <w:rPr>
          <w:rFonts w:ascii="Times New Roman" w:hAnsi="Times New Roman"/>
          <w:sz w:val="20"/>
          <w:szCs w:val="20"/>
        </w:rPr>
        <w:t>с даты заключения</w:t>
      </w:r>
      <w:proofErr w:type="gramEnd"/>
      <w:r w:rsidRPr="005B0538">
        <w:rPr>
          <w:rFonts w:ascii="Times New Roman" w:hAnsi="Times New Roman"/>
          <w:sz w:val="20"/>
          <w:szCs w:val="20"/>
        </w:rPr>
        <w:t xml:space="preserve"> договора. </w:t>
      </w:r>
    </w:p>
    <w:p w:rsidR="00F5009B"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В </w:t>
      </w:r>
      <w:proofErr w:type="gramStart"/>
      <w:r w:rsidRPr="005B0538">
        <w:rPr>
          <w:rFonts w:ascii="Times New Roman" w:hAnsi="Times New Roman"/>
          <w:sz w:val="20"/>
          <w:szCs w:val="20"/>
        </w:rPr>
        <w:t>случае</w:t>
      </w:r>
      <w:proofErr w:type="gramEnd"/>
      <w:r w:rsidRPr="005B0538">
        <w:rPr>
          <w:rFonts w:ascii="Times New Roman" w:hAnsi="Times New Roman"/>
          <w:sz w:val="20"/>
          <w:szCs w:val="20"/>
        </w:rPr>
        <w:t xml:space="preserve">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 В </w:t>
      </w:r>
      <w:proofErr w:type="gramStart"/>
      <w:r w:rsidRPr="005B0538">
        <w:rPr>
          <w:rFonts w:ascii="Times New Roman" w:hAnsi="Times New Roman"/>
          <w:sz w:val="20"/>
          <w:szCs w:val="20"/>
        </w:rPr>
        <w:t>таком</w:t>
      </w:r>
      <w:proofErr w:type="gramEnd"/>
      <w:r w:rsidRPr="005B0538">
        <w:rPr>
          <w:rFonts w:ascii="Times New Roman" w:hAnsi="Times New Roman"/>
          <w:sz w:val="20"/>
          <w:szCs w:val="20"/>
        </w:rPr>
        <w:t xml:space="preserve"> случае, договор может быть подписан на бумажном носителе с последующей обязательной загрузкой в Систему электронной копии </w:t>
      </w:r>
      <w:r w:rsidR="00F5009B" w:rsidRPr="005B0538">
        <w:rPr>
          <w:rFonts w:ascii="Times New Roman" w:hAnsi="Times New Roman"/>
          <w:sz w:val="20"/>
          <w:szCs w:val="20"/>
        </w:rPr>
        <w:t>такого</w:t>
      </w:r>
      <w:r w:rsidRPr="005B0538">
        <w:rPr>
          <w:rFonts w:ascii="Times New Roman" w:hAnsi="Times New Roman"/>
          <w:sz w:val="20"/>
          <w:szCs w:val="20"/>
        </w:rPr>
        <w:t xml:space="preserve"> договора</w:t>
      </w:r>
      <w:r w:rsidR="00F5009B">
        <w:rPr>
          <w:rFonts w:ascii="Times New Roman" w:hAnsi="Times New Roman"/>
          <w:sz w:val="20"/>
          <w:szCs w:val="20"/>
        </w:rPr>
        <w:t xml:space="preserve"> </w:t>
      </w:r>
      <w:r w:rsidRPr="005B0538">
        <w:rPr>
          <w:rFonts w:ascii="Times New Roman" w:hAnsi="Times New Roman"/>
          <w:sz w:val="20"/>
          <w:szCs w:val="20"/>
        </w:rPr>
        <w:t xml:space="preserve">в срок не более 5 (пяти) рабочих дней с даты заключения договора о закупках. </w:t>
      </w:r>
    </w:p>
    <w:p w:rsidR="00F5009B" w:rsidRDefault="005B0538" w:rsidP="005B0538">
      <w:pPr>
        <w:numPr>
          <w:ilvl w:val="1"/>
          <w:numId w:val="1"/>
        </w:numPr>
        <w:spacing w:after="0" w:line="240" w:lineRule="auto"/>
        <w:contextualSpacing/>
        <w:jc w:val="both"/>
        <w:rPr>
          <w:rFonts w:ascii="Times New Roman" w:hAnsi="Times New Roman"/>
          <w:sz w:val="20"/>
          <w:szCs w:val="20"/>
        </w:rPr>
      </w:pPr>
      <w:proofErr w:type="gramStart"/>
      <w:r w:rsidRPr="005B0538">
        <w:rPr>
          <w:rFonts w:ascii="Times New Roman" w:hAnsi="Times New Roman"/>
          <w:sz w:val="20"/>
          <w:szCs w:val="20"/>
        </w:rPr>
        <w:t>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w:t>
      </w:r>
      <w:proofErr w:type="gramEnd"/>
      <w:r w:rsidRPr="005B0538">
        <w:rPr>
          <w:rFonts w:ascii="Times New Roman" w:hAnsi="Times New Roman"/>
          <w:sz w:val="20"/>
          <w:szCs w:val="20"/>
        </w:rPr>
        <w:t xml:space="preserve"> В </w:t>
      </w:r>
      <w:proofErr w:type="gramStart"/>
      <w:r w:rsidRPr="005B0538">
        <w:rPr>
          <w:rFonts w:ascii="Times New Roman" w:hAnsi="Times New Roman"/>
          <w:sz w:val="20"/>
          <w:szCs w:val="20"/>
        </w:rPr>
        <w:t>случае</w:t>
      </w:r>
      <w:proofErr w:type="gramEnd"/>
      <w:r w:rsidRPr="005B0538">
        <w:rPr>
          <w:rFonts w:ascii="Times New Roman" w:hAnsi="Times New Roman"/>
          <w:sz w:val="20"/>
          <w:szCs w:val="20"/>
        </w:rPr>
        <w:t xml:space="preserve">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 и сведения о нем направляются Заказчиком Оператору Фонда по закупкам для включения в Перечень ненадежных потенциальных поставщиков (поставщиков) Холдинга. 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5B0538">
        <w:rPr>
          <w:rFonts w:ascii="Times New Roman" w:hAnsi="Times New Roman"/>
          <w:sz w:val="20"/>
          <w:szCs w:val="20"/>
        </w:rPr>
        <w:t>с даты вскрытия</w:t>
      </w:r>
      <w:proofErr w:type="gramEnd"/>
      <w:r w:rsidRPr="005B0538">
        <w:rPr>
          <w:rFonts w:ascii="Times New Roman" w:hAnsi="Times New Roman"/>
          <w:sz w:val="20"/>
          <w:szCs w:val="20"/>
        </w:rPr>
        <w:t xml:space="preserve"> заявок на участие в электронной закупке и до даты подписания договора о закупках; </w:t>
      </w:r>
    </w:p>
    <w:p w:rsidR="00F5009B"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В случае, если победитель тендера признан уклонившимся от заключения договора о закупках, а также в случае, если победитель тендера с момента вскрытия заявок и до момента заключения договора по итогам тендера был внесен в перечен</w:t>
      </w:r>
      <w:proofErr w:type="gramStart"/>
      <w:r w:rsidRPr="005B0538">
        <w:rPr>
          <w:rFonts w:ascii="Times New Roman" w:hAnsi="Times New Roman"/>
          <w:sz w:val="20"/>
          <w:szCs w:val="20"/>
        </w:rPr>
        <w:t>ь(</w:t>
      </w:r>
      <w:proofErr w:type="gramEnd"/>
      <w:r w:rsidRPr="005B0538">
        <w:rPr>
          <w:rFonts w:ascii="Times New Roman" w:hAnsi="Times New Roman"/>
          <w:sz w:val="20"/>
          <w:szCs w:val="20"/>
        </w:rPr>
        <w:t xml:space="preserve">ни) указанный(е) в подпункте 1) пункта 1) статьи 31 Стандарта, то тендерная комиссия в течение 5 (пяти) рабочих дней со дня наступления одного из указанных случаев,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w:t>
      </w:r>
      <w:proofErr w:type="gramStart"/>
      <w:r w:rsidRPr="005B0538">
        <w:rPr>
          <w:rFonts w:ascii="Times New Roman" w:hAnsi="Times New Roman"/>
          <w:sz w:val="20"/>
          <w:szCs w:val="20"/>
        </w:rPr>
        <w:t>поставщиком</w:t>
      </w:r>
      <w:proofErr w:type="gramEnd"/>
      <w:r w:rsidRPr="005B0538">
        <w:rPr>
          <w:rFonts w:ascii="Times New Roman" w:hAnsi="Times New Roman"/>
          <w:sz w:val="20"/>
          <w:szCs w:val="20"/>
        </w:rPr>
        <w:t xml:space="preserve"> занявшим второе место, в порядке и сроки, предусмотренные настоящей тендерной документацией. В </w:t>
      </w:r>
      <w:proofErr w:type="gramStart"/>
      <w:r w:rsidRPr="005B0538">
        <w:rPr>
          <w:rFonts w:ascii="Times New Roman" w:hAnsi="Times New Roman"/>
          <w:sz w:val="20"/>
          <w:szCs w:val="20"/>
        </w:rPr>
        <w:t>случае</w:t>
      </w:r>
      <w:proofErr w:type="gramEnd"/>
      <w:r w:rsidRPr="005B0538">
        <w:rPr>
          <w:rFonts w:ascii="Times New Roman" w:hAnsi="Times New Roman"/>
          <w:sz w:val="20"/>
          <w:szCs w:val="20"/>
        </w:rPr>
        <w:t xml:space="preserve">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проведены повторно. </w:t>
      </w:r>
    </w:p>
    <w:p w:rsidR="00F5009B"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Внесение изменений и дополнений в проект договора о закупках допускается по взаимному согласию сторон в случаях, предусмотренных статьей 68 Стандарта. </w:t>
      </w:r>
    </w:p>
    <w:p w:rsidR="00F5009B"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Внесение изменений в заключенный договор о закупках допускаются по взаимному согласию сторон в случаях, предусмотренных статьей 71 Стандарта. </w:t>
      </w:r>
    </w:p>
    <w:p w:rsidR="00F5009B"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656375" w:rsidRDefault="005B0538" w:rsidP="005B0538">
      <w:pPr>
        <w:numPr>
          <w:ilvl w:val="1"/>
          <w:numId w:val="1"/>
        </w:numPr>
        <w:spacing w:after="0" w:line="240" w:lineRule="auto"/>
        <w:contextualSpacing/>
        <w:jc w:val="both"/>
        <w:rPr>
          <w:rFonts w:ascii="Times New Roman" w:hAnsi="Times New Roman"/>
          <w:sz w:val="20"/>
          <w:szCs w:val="20"/>
        </w:rPr>
      </w:pPr>
      <w:r w:rsidRPr="005B0538">
        <w:rPr>
          <w:rFonts w:ascii="Times New Roman" w:hAnsi="Times New Roman"/>
          <w:sz w:val="20"/>
          <w:szCs w:val="20"/>
        </w:rPr>
        <w:lastRenderedPageBreak/>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статьей 68 и 71 Стандарта.</w:t>
      </w:r>
    </w:p>
    <w:p w:rsidR="005B0538" w:rsidRPr="00CF4903" w:rsidRDefault="005B0538" w:rsidP="005B0538">
      <w:pPr>
        <w:spacing w:after="0" w:line="240" w:lineRule="auto"/>
        <w:ind w:left="360"/>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Условия, виды, объем и способ внесения обеспечения исполнения договора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xml:space="preserve">, если договором о закупках предусматривается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исполнения договора в размере </w:t>
      </w:r>
      <w:r w:rsidR="00336685" w:rsidRPr="00336685">
        <w:rPr>
          <w:rFonts w:ascii="Times New Roman" w:hAnsi="Times New Roman"/>
          <w:sz w:val="20"/>
          <w:szCs w:val="20"/>
        </w:rPr>
        <w:t>3</w:t>
      </w:r>
      <w:r w:rsidRPr="00CF4903">
        <w:rPr>
          <w:rFonts w:ascii="Times New Roman" w:hAnsi="Times New Roman"/>
          <w:sz w:val="20"/>
          <w:szCs w:val="20"/>
        </w:rPr>
        <w:t>% от общей суммы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Потенциальный поставщик вправе выбрать один из следующих видов обеспечения исполнения договора:</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гарантийный денежный взнос;</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банковская гарантия.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Требование о представлении Заказчику обеспечения исполнения договора не распространяется </w:t>
      </w:r>
      <w:proofErr w:type="gramStart"/>
      <w:r w:rsidRPr="00CF4903">
        <w:rPr>
          <w:rFonts w:ascii="Times New Roman" w:hAnsi="Times New Roman"/>
          <w:sz w:val="20"/>
          <w:szCs w:val="20"/>
        </w:rPr>
        <w:t>на</w:t>
      </w:r>
      <w:proofErr w:type="gramEnd"/>
      <w:r w:rsidRPr="00CF4903">
        <w:rPr>
          <w:rFonts w:ascii="Times New Roman" w:hAnsi="Times New Roman"/>
          <w:sz w:val="20"/>
          <w:szCs w:val="20"/>
        </w:rPr>
        <w:t>:</w:t>
      </w:r>
    </w:p>
    <w:p w:rsidR="00656375" w:rsidRPr="00CF4903" w:rsidRDefault="00656375" w:rsidP="00656375">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входящие в Холдинг;</w:t>
      </w:r>
    </w:p>
    <w:p w:rsidR="00656375" w:rsidRDefault="00656375" w:rsidP="00656375">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инвалидов (физические лица – инвалиды, осуществляющие предпринимательскую деятельность)</w:t>
      </w:r>
      <w:r w:rsidR="00C012B4">
        <w:rPr>
          <w:rFonts w:ascii="Times New Roman" w:hAnsi="Times New Roman"/>
          <w:sz w:val="20"/>
          <w:szCs w:val="20"/>
        </w:rPr>
        <w:t>;</w:t>
      </w:r>
    </w:p>
    <w:p w:rsidR="00C012B4" w:rsidRPr="00CF4903" w:rsidRDefault="00C012B4" w:rsidP="00656375">
      <w:pPr>
        <w:numPr>
          <w:ilvl w:val="2"/>
          <w:numId w:val="11"/>
        </w:numPr>
        <w:spacing w:after="0" w:line="240" w:lineRule="auto"/>
        <w:ind w:left="644" w:hanging="284"/>
        <w:contextualSpacing/>
        <w:jc w:val="both"/>
        <w:rPr>
          <w:rFonts w:ascii="Times New Roman" w:hAnsi="Times New Roman"/>
          <w:sz w:val="20"/>
          <w:szCs w:val="20"/>
        </w:rPr>
      </w:pPr>
      <w:r w:rsidRPr="00C012B4">
        <w:rPr>
          <w:rFonts w:ascii="Times New Roman" w:hAnsi="Times New Roman"/>
          <w:sz w:val="20"/>
          <w:szCs w:val="20"/>
        </w:rPr>
        <w:t>товаропроизводителей закупаемого товара.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Положения настоящего пункта не распространяются на консорциумы.</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proofErr w:type="gramStart"/>
      <w:r w:rsidRPr="00CF4903">
        <w:rPr>
          <w:rFonts w:ascii="Times New Roman" w:hAnsi="Times New Roman"/>
          <w:sz w:val="20"/>
          <w:szCs w:val="20"/>
        </w:rPr>
        <w:t>В случае,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roofErr w:type="gramEnd"/>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F4903">
        <w:rPr>
          <w:rFonts w:ascii="Times New Roman" w:hAnsi="Times New Roman"/>
          <w:sz w:val="20"/>
          <w:szCs w:val="20"/>
        </w:rPr>
        <w:t>срока внесения обеспечения исполнения договора</w:t>
      </w:r>
      <w:proofErr w:type="gramEnd"/>
      <w:r w:rsidRPr="00CF4903">
        <w:rPr>
          <w:rFonts w:ascii="Times New Roman" w:hAnsi="Times New Roman"/>
          <w:sz w:val="20"/>
          <w:szCs w:val="20"/>
        </w:rPr>
        <w:t xml:space="preserve">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proofErr w:type="gramStart"/>
      <w:r w:rsidRPr="00CF4903">
        <w:rPr>
          <w:rFonts w:ascii="Times New Roman" w:hAnsi="Times New Roman"/>
          <w:sz w:val="20"/>
          <w:szCs w:val="20"/>
        </w:rPr>
        <w:t>Сведения о поставщике, не внесшем обеспечение исполнения договора, Заказчиком направляются в установленном порядке Оператору Фонда по закупкам для внесения сведений о таком поставщике в Перечень ненадежных потенциальных поставщиков (поставщиков) Холдинга за исключением случаев отказа потенциального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w:t>
      </w:r>
      <w:proofErr w:type="gramEnd"/>
      <w:r w:rsidRPr="00CF4903">
        <w:rPr>
          <w:rFonts w:ascii="Times New Roman" w:hAnsi="Times New Roman"/>
          <w:sz w:val="20"/>
          <w:szCs w:val="20"/>
        </w:rPr>
        <w:t xml:space="preserve"> даты внесения обеспечения исполнения договора, предусмотренной в договоре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если поставщик не заменил обеспечение возврата аванса (предоплаты) и (или) обеспечение исполнения договора согласно требованиям пункта 5 Статьи 70, то Заказчиком в одностороннем порядке расторгается заключенный договор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xml:space="preserve">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F4903">
        <w:rPr>
          <w:rFonts w:ascii="Times New Roman" w:hAnsi="Times New Roman"/>
          <w:sz w:val="20"/>
          <w:szCs w:val="20"/>
        </w:rPr>
        <w:t>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Холдинга.</w:t>
      </w:r>
      <w:proofErr w:type="gramEnd"/>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bookmarkStart w:id="2" w:name="_Toc28603099"/>
      <w:r w:rsidRPr="00CF4903">
        <w:rPr>
          <w:rFonts w:ascii="Times New Roman" w:hAnsi="Times New Roman"/>
          <w:b/>
          <w:sz w:val="20"/>
          <w:szCs w:val="20"/>
        </w:rPr>
        <w:t>Отмена/пересмотр итогов открытого тендера</w:t>
      </w:r>
      <w:bookmarkEnd w:id="2"/>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proofErr w:type="gramStart"/>
      <w:r w:rsidRPr="00CF4903">
        <w:rPr>
          <w:rFonts w:ascii="Times New Roman" w:hAnsi="Times New Roman"/>
          <w:sz w:val="20"/>
          <w:szCs w:val="20"/>
        </w:rPr>
        <w:t>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w:t>
      </w:r>
      <w:proofErr w:type="gramEnd"/>
      <w:r w:rsidRPr="00CF4903">
        <w:rPr>
          <w:rFonts w:ascii="Times New Roman" w:hAnsi="Times New Roman"/>
          <w:sz w:val="20"/>
          <w:szCs w:val="20"/>
        </w:rPr>
        <w:t xml:space="preserve"> </w:t>
      </w:r>
      <w:proofErr w:type="gramStart"/>
      <w:r w:rsidRPr="00CF4903">
        <w:rPr>
          <w:rFonts w:ascii="Times New Roman" w:hAnsi="Times New Roman"/>
          <w:sz w:val="20"/>
          <w:szCs w:val="20"/>
        </w:rPr>
        <w:t>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w:t>
      </w:r>
      <w:proofErr w:type="gramStart"/>
      <w:r w:rsidRPr="00CF4903">
        <w:rPr>
          <w:rFonts w:ascii="Times New Roman" w:hAnsi="Times New Roman"/>
          <w:sz w:val="20"/>
          <w:szCs w:val="20"/>
        </w:rPr>
        <w:t>случае</w:t>
      </w:r>
      <w:proofErr w:type="gramEnd"/>
      <w:r w:rsidRPr="00CF4903">
        <w:rPr>
          <w:rFonts w:ascii="Times New Roman" w:hAnsi="Times New Roman"/>
          <w:sz w:val="20"/>
          <w:szCs w:val="20"/>
        </w:rPr>
        <w:t xml:space="preserve">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w:t>
      </w:r>
      <w:proofErr w:type="gramStart"/>
      <w:r w:rsidRPr="00CF4903">
        <w:rPr>
          <w:rFonts w:ascii="Times New Roman" w:hAnsi="Times New Roman"/>
          <w:sz w:val="20"/>
          <w:szCs w:val="20"/>
        </w:rPr>
        <w:t>В случае поступления акта проверки/уведомления Уполномоченного органа по вопросам осуществления закупок,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roofErr w:type="gramEnd"/>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w:t>
      </w:r>
      <w:proofErr w:type="gramStart"/>
      <w:r w:rsidRPr="00CF4903">
        <w:rPr>
          <w:rFonts w:ascii="Times New Roman" w:hAnsi="Times New Roman"/>
          <w:sz w:val="20"/>
          <w:szCs w:val="20"/>
        </w:rPr>
        <w:t>уведомления</w:t>
      </w:r>
      <w:proofErr w:type="gramEnd"/>
      <w:r w:rsidRPr="00CF4903">
        <w:rPr>
          <w:rFonts w:ascii="Times New Roman" w:hAnsi="Times New Roman"/>
          <w:sz w:val="20"/>
          <w:szCs w:val="20"/>
        </w:rPr>
        <w:t xml:space="preserve"> Уполномоченного органа по вопросам осуществления закупок.</w:t>
      </w:r>
    </w:p>
    <w:p w:rsidR="00656375"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w:t>
      </w:r>
      <w:proofErr w:type="gramStart"/>
      <w:r w:rsidRPr="00CF4903">
        <w:rPr>
          <w:rFonts w:ascii="Times New Roman" w:hAnsi="Times New Roman"/>
          <w:sz w:val="20"/>
          <w:szCs w:val="20"/>
        </w:rPr>
        <w:t>разместить</w:t>
      </w:r>
      <w:proofErr w:type="gramEnd"/>
      <w:r w:rsidRPr="00CF4903">
        <w:rPr>
          <w:rFonts w:ascii="Times New Roman" w:hAnsi="Times New Roman"/>
          <w:sz w:val="20"/>
          <w:szCs w:val="20"/>
        </w:rPr>
        <w:t xml:space="preserve"> соответствующее объявление в Системе, содержащее указание на допущенные нарушения.</w:t>
      </w:r>
    </w:p>
    <w:p w:rsidR="00287E8C" w:rsidRDefault="00287E8C" w:rsidP="00287E8C">
      <w:pPr>
        <w:spacing w:after="0" w:line="240" w:lineRule="auto"/>
        <w:ind w:left="360"/>
        <w:contextualSpacing/>
        <w:jc w:val="both"/>
        <w:rPr>
          <w:rFonts w:ascii="Times New Roman" w:hAnsi="Times New Roman"/>
          <w:sz w:val="20"/>
          <w:szCs w:val="20"/>
        </w:rPr>
      </w:pPr>
    </w:p>
    <w:p w:rsidR="00287E8C" w:rsidRPr="00287E8C" w:rsidRDefault="00287E8C" w:rsidP="00287E8C">
      <w:pPr>
        <w:numPr>
          <w:ilvl w:val="0"/>
          <w:numId w:val="1"/>
        </w:numPr>
        <w:spacing w:after="0" w:line="240" w:lineRule="auto"/>
        <w:contextualSpacing/>
        <w:jc w:val="both"/>
        <w:rPr>
          <w:rFonts w:ascii="Times New Roman" w:hAnsi="Times New Roman"/>
          <w:b/>
          <w:sz w:val="20"/>
          <w:szCs w:val="20"/>
        </w:rPr>
      </w:pPr>
      <w:r w:rsidRPr="00287E8C">
        <w:rPr>
          <w:rFonts w:ascii="Times New Roman" w:hAnsi="Times New Roman"/>
          <w:b/>
          <w:sz w:val="20"/>
          <w:szCs w:val="20"/>
        </w:rPr>
        <w:lastRenderedPageBreak/>
        <w:t>Условия внесения, содержание и виды обеспечения тендерной заявки</w:t>
      </w:r>
    </w:p>
    <w:p w:rsidR="00287E8C" w:rsidRDefault="00287E8C" w:rsidP="00287E8C">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 xml:space="preserve">Потенциальный поставщик вносит обеспечение Тендерной заявки в размере 1.00% от суммы, выделенной для закупки, без учета НДС, в качестве гарантии того, что он: </w:t>
      </w:r>
    </w:p>
    <w:p w:rsidR="00287E8C" w:rsidRDefault="00287E8C" w:rsidP="00287E8C">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1) </w:t>
      </w:r>
      <w:r w:rsidR="00482B54">
        <w:rPr>
          <w:rFonts w:ascii="Times New Roman" w:hAnsi="Times New Roman"/>
          <w:sz w:val="20"/>
          <w:szCs w:val="20"/>
        </w:rPr>
        <w:t>н</w:t>
      </w:r>
      <w:r w:rsidRPr="00287E8C">
        <w:rPr>
          <w:rFonts w:ascii="Times New Roman" w:hAnsi="Times New Roman"/>
          <w:sz w:val="20"/>
          <w:szCs w:val="20"/>
        </w:rPr>
        <w:t xml:space="preserve">е отзовет либо не изменит свою Тендерную заявку после истечения окончательного срока представления Тендерных заявок; </w:t>
      </w:r>
    </w:p>
    <w:p w:rsidR="00D95E24" w:rsidRDefault="00287E8C" w:rsidP="00287E8C">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2) </w:t>
      </w:r>
      <w:r w:rsidR="00482B54">
        <w:rPr>
          <w:rFonts w:ascii="Times New Roman" w:hAnsi="Times New Roman"/>
          <w:sz w:val="20"/>
          <w:szCs w:val="20"/>
        </w:rPr>
        <w:t>в</w:t>
      </w:r>
      <w:r w:rsidRPr="00287E8C">
        <w:rPr>
          <w:rFonts w:ascii="Times New Roman" w:hAnsi="Times New Roman"/>
          <w:sz w:val="20"/>
          <w:szCs w:val="20"/>
        </w:rPr>
        <w:t xml:space="preserve">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 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rsidR="00287E8C" w:rsidRDefault="00287E8C" w:rsidP="00287E8C">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Срок действия обеспечения заявки должен быть не менее срока действия заявки на участие в тендере.</w:t>
      </w:r>
      <w:r>
        <w:rPr>
          <w:rFonts w:ascii="Times New Roman" w:hAnsi="Times New Roman"/>
          <w:sz w:val="20"/>
          <w:szCs w:val="20"/>
        </w:rPr>
        <w:t xml:space="preserve"> </w:t>
      </w:r>
      <w:r w:rsidRPr="00287E8C">
        <w:rPr>
          <w:rFonts w:ascii="Times New Roman" w:hAnsi="Times New Roman"/>
          <w:sz w:val="20"/>
          <w:szCs w:val="20"/>
        </w:rPr>
        <w:t xml:space="preserve">При этом течение срока действия обеспечения заявки на участие в электронных закупках начинается со дня вскрытия заявок на участие в тендере. Сумма обеспечения заявки на участие в тендере, исчисленная в </w:t>
      </w:r>
      <w:proofErr w:type="spellStart"/>
      <w:r w:rsidRPr="00287E8C">
        <w:rPr>
          <w:rFonts w:ascii="Times New Roman" w:hAnsi="Times New Roman"/>
          <w:sz w:val="20"/>
          <w:szCs w:val="20"/>
        </w:rPr>
        <w:t>тиынах</w:t>
      </w:r>
      <w:proofErr w:type="spellEnd"/>
      <w:r w:rsidRPr="00287E8C">
        <w:rPr>
          <w:rFonts w:ascii="Times New Roman" w:hAnsi="Times New Roman"/>
          <w:sz w:val="20"/>
          <w:szCs w:val="20"/>
        </w:rPr>
        <w:t xml:space="preserve">, округляется. При этом сумма менее пятидесяти </w:t>
      </w:r>
      <w:proofErr w:type="spellStart"/>
      <w:r w:rsidRPr="00287E8C">
        <w:rPr>
          <w:rFonts w:ascii="Times New Roman" w:hAnsi="Times New Roman"/>
          <w:sz w:val="20"/>
          <w:szCs w:val="20"/>
        </w:rPr>
        <w:t>тиын</w:t>
      </w:r>
      <w:proofErr w:type="spellEnd"/>
      <w:r w:rsidRPr="00287E8C">
        <w:rPr>
          <w:rFonts w:ascii="Times New Roman" w:hAnsi="Times New Roman"/>
          <w:sz w:val="20"/>
          <w:szCs w:val="20"/>
        </w:rPr>
        <w:t xml:space="preserve"> округляется до нуля, а сумма, равная пятидесяти </w:t>
      </w:r>
      <w:proofErr w:type="spellStart"/>
      <w:r w:rsidRPr="00287E8C">
        <w:rPr>
          <w:rFonts w:ascii="Times New Roman" w:hAnsi="Times New Roman"/>
          <w:sz w:val="20"/>
          <w:szCs w:val="20"/>
        </w:rPr>
        <w:t>тиынам</w:t>
      </w:r>
      <w:proofErr w:type="spellEnd"/>
      <w:r w:rsidRPr="00287E8C">
        <w:rPr>
          <w:rFonts w:ascii="Times New Roman" w:hAnsi="Times New Roman"/>
          <w:sz w:val="20"/>
          <w:szCs w:val="20"/>
        </w:rPr>
        <w:t xml:space="preserve"> и выше, округляется до одного тенге. </w:t>
      </w:r>
    </w:p>
    <w:p w:rsidR="00CD75A6" w:rsidRDefault="00287E8C" w:rsidP="00287E8C">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w:t>
      </w:r>
    </w:p>
    <w:p w:rsidR="00CD75A6" w:rsidRDefault="00287E8C" w:rsidP="00287E8C">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 xml:space="preserve">Обеспечение заявки на участие в электронных закупках не вносится: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1)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2) Организациями, входящими в Холдинг.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3) Предварительно квалифицированными потенциальными поставщиками, </w:t>
      </w:r>
      <w:proofErr w:type="gramStart"/>
      <w:r w:rsidRPr="00287E8C">
        <w:rPr>
          <w:rFonts w:ascii="Times New Roman" w:hAnsi="Times New Roman"/>
          <w:sz w:val="20"/>
          <w:szCs w:val="20"/>
        </w:rPr>
        <w:t>прошедших</w:t>
      </w:r>
      <w:proofErr w:type="gramEnd"/>
      <w:r w:rsidRPr="00287E8C">
        <w:rPr>
          <w:rFonts w:ascii="Times New Roman" w:hAnsi="Times New Roman"/>
          <w:sz w:val="20"/>
          <w:szCs w:val="20"/>
        </w:rPr>
        <w:t xml:space="preserve"> предварительный квалификационный отбор по закупаемым товарам, работам, услугам, и имеющими уровень соответствия по всем квалификационным критериям не ниже минимального.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4) Квалифицированными потенциальными поставщиками.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5) товаропроизводителями закупаемого товара.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Положения подпунктов 1), 2) и 5) настоящего пункта не распространяются на консорциумы. </w:t>
      </w:r>
    </w:p>
    <w:p w:rsidR="00CD75A6" w:rsidRDefault="00287E8C" w:rsidP="00CD75A6">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 xml:space="preserve">Обеспечение заявки на участие в электронных закупках,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1) Отзыва данным потенциальным поставщиком своей заявки на участие в электронных закупках до истечения окончательного срока представления заявок;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2) Подписания протокола об итогах электронных закупок.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3) Вступления в силу договора о закупках и внесения победителем электронных закупок обеспечения исполнения договора о закупках, предусмотренного Тендерной документацией;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подпунктом 2) пункта 5 статьи 43 Стандарта, обеспечения исполнения договора о закупках, предусмотренного Тендерной документацией.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5) Вступление в силу договора о закупках (в случае, если условиями тендерной документации не предусматривается внесение обеспечения исполнения договора). </w:t>
      </w:r>
    </w:p>
    <w:p w:rsidR="00CD75A6" w:rsidRDefault="00287E8C" w:rsidP="00CD75A6">
      <w:pPr>
        <w:numPr>
          <w:ilvl w:val="1"/>
          <w:numId w:val="1"/>
        </w:numPr>
        <w:spacing w:after="0" w:line="240" w:lineRule="auto"/>
        <w:contextualSpacing/>
        <w:jc w:val="both"/>
        <w:rPr>
          <w:rFonts w:ascii="Times New Roman" w:hAnsi="Times New Roman"/>
          <w:sz w:val="20"/>
          <w:szCs w:val="20"/>
        </w:rPr>
      </w:pPr>
      <w:r w:rsidRPr="00287E8C">
        <w:rPr>
          <w:rFonts w:ascii="Times New Roman" w:hAnsi="Times New Roman"/>
          <w:sz w:val="20"/>
          <w:szCs w:val="20"/>
        </w:rPr>
        <w:t xml:space="preserve">Обеспечение заявки не возвращается потенциальному поставщику при наступлении одного из следующих случаев: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1) Потенциальный поставщик, определенный победителем электронных закупок, уклонился от заключения договора о закупках.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2) Победитель электронных закупок,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3) Потенциальный поставщик, занявший по итогам сопоставления и оценки второе место, определенный в случае, предусмотренном подпунктом 2) пункта 5 статьи 43 Стандарта, уклонился от заключения договора о закупках </w:t>
      </w:r>
      <w:proofErr w:type="gramStart"/>
      <w:r w:rsidRPr="00287E8C">
        <w:rPr>
          <w:rFonts w:ascii="Times New Roman" w:hAnsi="Times New Roman"/>
          <w:sz w:val="20"/>
          <w:szCs w:val="20"/>
        </w:rPr>
        <w:t>или</w:t>
      </w:r>
      <w:proofErr w:type="gramEnd"/>
      <w:r w:rsidRPr="00287E8C">
        <w:rPr>
          <w:rFonts w:ascii="Times New Roman" w:hAnsi="Times New Roman"/>
          <w:sz w:val="20"/>
          <w:szCs w:val="20"/>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Положения настоящего пункта не распространяются на случаи: </w:t>
      </w:r>
    </w:p>
    <w:p w:rsidR="00CD75A6"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1)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287E8C">
        <w:rPr>
          <w:rFonts w:ascii="Times New Roman" w:hAnsi="Times New Roman"/>
          <w:sz w:val="20"/>
          <w:szCs w:val="20"/>
        </w:rPr>
        <w:t>с даты вскрытия</w:t>
      </w:r>
      <w:proofErr w:type="gramEnd"/>
      <w:r w:rsidRPr="00287E8C">
        <w:rPr>
          <w:rFonts w:ascii="Times New Roman" w:hAnsi="Times New Roman"/>
          <w:sz w:val="20"/>
          <w:szCs w:val="20"/>
        </w:rPr>
        <w:t xml:space="preserve"> тендерных заявок и до даты подписания договора о закупках; </w:t>
      </w:r>
    </w:p>
    <w:p w:rsidR="00287E8C" w:rsidRDefault="00287E8C" w:rsidP="00CD75A6">
      <w:pPr>
        <w:spacing w:after="0" w:line="240" w:lineRule="auto"/>
        <w:ind w:left="360"/>
        <w:contextualSpacing/>
        <w:jc w:val="both"/>
        <w:rPr>
          <w:rFonts w:ascii="Times New Roman" w:hAnsi="Times New Roman"/>
          <w:sz w:val="20"/>
          <w:szCs w:val="20"/>
        </w:rPr>
      </w:pPr>
      <w:r w:rsidRPr="00287E8C">
        <w:rPr>
          <w:rFonts w:ascii="Times New Roman" w:hAnsi="Times New Roman"/>
          <w:sz w:val="20"/>
          <w:szCs w:val="20"/>
        </w:rPr>
        <w:t xml:space="preserve">2) Отказа поставщика от внесения обеспечения исполнения договора о закупках, связанного со значительным снижением курса национальной валюты Республики Казахстан, в период </w:t>
      </w:r>
      <w:proofErr w:type="gramStart"/>
      <w:r w:rsidRPr="00287E8C">
        <w:rPr>
          <w:rFonts w:ascii="Times New Roman" w:hAnsi="Times New Roman"/>
          <w:sz w:val="20"/>
          <w:szCs w:val="20"/>
        </w:rPr>
        <w:t>с даты подписания</w:t>
      </w:r>
      <w:proofErr w:type="gramEnd"/>
      <w:r w:rsidRPr="00287E8C">
        <w:rPr>
          <w:rFonts w:ascii="Times New Roman" w:hAnsi="Times New Roman"/>
          <w:sz w:val="20"/>
          <w:szCs w:val="20"/>
        </w:rPr>
        <w:t xml:space="preserve"> договора о закупках и до даты внесения обеспечения исполнения договора о закупках, предусмотренной в договоре</w:t>
      </w:r>
      <w:r w:rsidR="00E601BE">
        <w:rPr>
          <w:rFonts w:ascii="Times New Roman" w:hAnsi="Times New Roman"/>
          <w:sz w:val="20"/>
          <w:szCs w:val="20"/>
        </w:rPr>
        <w:t>.</w:t>
      </w:r>
    </w:p>
    <w:p w:rsidR="00E601BE" w:rsidRDefault="00E601BE" w:rsidP="00CD75A6">
      <w:pPr>
        <w:spacing w:after="0" w:line="240" w:lineRule="auto"/>
        <w:ind w:left="360"/>
        <w:contextualSpacing/>
        <w:jc w:val="both"/>
        <w:rPr>
          <w:rFonts w:ascii="Times New Roman" w:hAnsi="Times New Roman"/>
          <w:sz w:val="20"/>
          <w:szCs w:val="20"/>
        </w:rPr>
      </w:pPr>
    </w:p>
    <w:p w:rsidR="00E601BE" w:rsidRDefault="00E601BE" w:rsidP="00E601BE">
      <w:pPr>
        <w:numPr>
          <w:ilvl w:val="0"/>
          <w:numId w:val="1"/>
        </w:numPr>
        <w:spacing w:after="0" w:line="240" w:lineRule="auto"/>
        <w:contextualSpacing/>
        <w:jc w:val="both"/>
        <w:rPr>
          <w:rFonts w:ascii="Times New Roman" w:hAnsi="Times New Roman"/>
          <w:b/>
          <w:sz w:val="20"/>
          <w:szCs w:val="20"/>
        </w:rPr>
      </w:pPr>
      <w:r w:rsidRPr="00E601BE">
        <w:rPr>
          <w:rFonts w:ascii="Times New Roman" w:hAnsi="Times New Roman"/>
          <w:b/>
          <w:sz w:val="20"/>
          <w:szCs w:val="20"/>
        </w:rPr>
        <w:t>Информация о случаях включения потенциального поставщика в Перечень ненадежных потенциальных поставщиков (поставщиков) Холдинга</w:t>
      </w:r>
    </w:p>
    <w:p w:rsidR="00E601BE" w:rsidRDefault="00E601BE" w:rsidP="00E601BE">
      <w:pPr>
        <w:numPr>
          <w:ilvl w:val="1"/>
          <w:numId w:val="1"/>
        </w:numPr>
        <w:spacing w:after="0" w:line="240" w:lineRule="auto"/>
        <w:contextualSpacing/>
        <w:jc w:val="both"/>
        <w:rPr>
          <w:rFonts w:ascii="Times New Roman" w:hAnsi="Times New Roman"/>
          <w:sz w:val="20"/>
          <w:szCs w:val="20"/>
        </w:rPr>
      </w:pPr>
      <w:r w:rsidRPr="00E601BE">
        <w:rPr>
          <w:rFonts w:ascii="Times New Roman" w:hAnsi="Times New Roman"/>
          <w:sz w:val="20"/>
          <w:szCs w:val="20"/>
        </w:rPr>
        <w:lastRenderedPageBreak/>
        <w:t xml:space="preserve">Потенциальный поставщик (поставщик) подлежит включению в Перечень ненадежных потенциальных поставщиков (поставщиков) Холдинга по следующим основаниям: </w:t>
      </w:r>
    </w:p>
    <w:p w:rsidR="00E601BE" w:rsidRDefault="00E601BE" w:rsidP="00E601BE">
      <w:pPr>
        <w:spacing w:after="0" w:line="240" w:lineRule="auto"/>
        <w:ind w:left="360"/>
        <w:contextualSpacing/>
        <w:jc w:val="both"/>
        <w:rPr>
          <w:rFonts w:ascii="Times New Roman" w:hAnsi="Times New Roman"/>
          <w:sz w:val="20"/>
          <w:szCs w:val="20"/>
        </w:rPr>
      </w:pPr>
      <w:r w:rsidRPr="00E601BE">
        <w:rPr>
          <w:rFonts w:ascii="Times New Roman" w:hAnsi="Times New Roman"/>
          <w:sz w:val="20"/>
          <w:szCs w:val="20"/>
        </w:rPr>
        <w:t xml:space="preserve">1) наличие вступившего в законную силу решения (постановления) суда, установившего факт предоставления потенциальным поставщиком в тендерной заявке недостоверной информации и/или ложных сведений; </w:t>
      </w:r>
    </w:p>
    <w:p w:rsidR="00E601BE" w:rsidRDefault="00E601BE" w:rsidP="00E601BE">
      <w:pPr>
        <w:spacing w:after="0" w:line="240" w:lineRule="auto"/>
        <w:ind w:left="360"/>
        <w:contextualSpacing/>
        <w:jc w:val="both"/>
        <w:rPr>
          <w:rFonts w:ascii="Times New Roman" w:hAnsi="Times New Roman"/>
          <w:sz w:val="20"/>
          <w:szCs w:val="20"/>
        </w:rPr>
      </w:pPr>
      <w:r w:rsidRPr="00E601BE">
        <w:rPr>
          <w:rFonts w:ascii="Times New Roman" w:hAnsi="Times New Roman"/>
          <w:sz w:val="20"/>
          <w:szCs w:val="20"/>
        </w:rPr>
        <w:t xml:space="preserve">2) уклонение (отказ) 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 Данная норма не распространяется на потенциального поставщика, занявшего по итогам тендера второе место; </w:t>
      </w:r>
    </w:p>
    <w:p w:rsidR="00E601BE" w:rsidRDefault="00E601BE" w:rsidP="00E601BE">
      <w:pPr>
        <w:spacing w:after="0" w:line="240" w:lineRule="auto"/>
        <w:ind w:left="360"/>
        <w:contextualSpacing/>
        <w:jc w:val="both"/>
        <w:rPr>
          <w:rFonts w:ascii="Times New Roman" w:hAnsi="Times New Roman"/>
          <w:sz w:val="20"/>
          <w:szCs w:val="20"/>
        </w:rPr>
      </w:pPr>
      <w:r w:rsidRPr="00E601BE">
        <w:rPr>
          <w:rFonts w:ascii="Times New Roman" w:hAnsi="Times New Roman"/>
          <w:sz w:val="20"/>
          <w:szCs w:val="20"/>
        </w:rPr>
        <w:t xml:space="preserve">3) невнесения обеспечения исполнения договора в установленные договором сроки, по закупкам, проведенным способом тендера за исключением случаев: </w:t>
      </w:r>
    </w:p>
    <w:p w:rsidR="00E601BE" w:rsidRDefault="00E601BE" w:rsidP="00E601BE">
      <w:pPr>
        <w:spacing w:after="0" w:line="240" w:lineRule="auto"/>
        <w:ind w:left="360"/>
        <w:contextualSpacing/>
        <w:jc w:val="both"/>
        <w:rPr>
          <w:rFonts w:ascii="Times New Roman" w:hAnsi="Times New Roman"/>
          <w:sz w:val="20"/>
          <w:szCs w:val="20"/>
        </w:rPr>
      </w:pPr>
      <w:r>
        <w:rPr>
          <w:rFonts w:ascii="Times New Roman" w:hAnsi="Times New Roman"/>
          <w:sz w:val="20"/>
          <w:szCs w:val="20"/>
        </w:rPr>
        <w:t>3.</w:t>
      </w:r>
      <w:r w:rsidRPr="00E601BE">
        <w:rPr>
          <w:rFonts w:ascii="Times New Roman" w:hAnsi="Times New Roman"/>
          <w:sz w:val="20"/>
          <w:szCs w:val="20"/>
        </w:rPr>
        <w:t>1</w:t>
      </w:r>
      <w:r>
        <w:rPr>
          <w:rFonts w:ascii="Times New Roman" w:hAnsi="Times New Roman"/>
          <w:sz w:val="20"/>
          <w:szCs w:val="20"/>
        </w:rPr>
        <w:t>.</w:t>
      </w:r>
      <w:r w:rsidRPr="00E601BE">
        <w:rPr>
          <w:rFonts w:ascii="Times New Roman" w:hAnsi="Times New Roman"/>
          <w:sz w:val="20"/>
          <w:szCs w:val="20"/>
        </w:rPr>
        <w:t xml:space="preserve">) полного и надлежащего исполнения поставщиком своих обязательств по договору о закупках до истечения окончательного </w:t>
      </w:r>
      <w:proofErr w:type="gramStart"/>
      <w:r w:rsidRPr="00E601BE">
        <w:rPr>
          <w:rFonts w:ascii="Times New Roman" w:hAnsi="Times New Roman"/>
          <w:sz w:val="20"/>
          <w:szCs w:val="20"/>
        </w:rPr>
        <w:t>срока внесения обеспечения исполнения договора</w:t>
      </w:r>
      <w:proofErr w:type="gramEnd"/>
      <w:r w:rsidRPr="00E601BE">
        <w:rPr>
          <w:rFonts w:ascii="Times New Roman" w:hAnsi="Times New Roman"/>
          <w:sz w:val="20"/>
          <w:szCs w:val="20"/>
        </w:rPr>
        <w:t xml:space="preserve"> о закупках; </w:t>
      </w:r>
    </w:p>
    <w:p w:rsidR="00E601BE" w:rsidRDefault="00E601BE" w:rsidP="00E601BE">
      <w:pPr>
        <w:spacing w:after="0" w:line="240" w:lineRule="auto"/>
        <w:ind w:left="360"/>
        <w:contextualSpacing/>
        <w:jc w:val="both"/>
        <w:rPr>
          <w:rFonts w:ascii="Times New Roman" w:hAnsi="Times New Roman"/>
          <w:sz w:val="20"/>
          <w:szCs w:val="20"/>
        </w:rPr>
      </w:pPr>
      <w:r>
        <w:rPr>
          <w:rFonts w:ascii="Times New Roman" w:hAnsi="Times New Roman"/>
          <w:sz w:val="20"/>
          <w:szCs w:val="20"/>
        </w:rPr>
        <w:t>3.</w:t>
      </w:r>
      <w:r w:rsidRPr="00E601BE">
        <w:rPr>
          <w:rFonts w:ascii="Times New Roman" w:hAnsi="Times New Roman"/>
          <w:sz w:val="20"/>
          <w:szCs w:val="20"/>
        </w:rPr>
        <w:t>2</w:t>
      </w:r>
      <w:r>
        <w:rPr>
          <w:rFonts w:ascii="Times New Roman" w:hAnsi="Times New Roman"/>
          <w:sz w:val="20"/>
          <w:szCs w:val="20"/>
        </w:rPr>
        <w:t>.</w:t>
      </w:r>
      <w:r w:rsidRPr="00E601BE">
        <w:rPr>
          <w:rFonts w:ascii="Times New Roman" w:hAnsi="Times New Roman"/>
          <w:sz w:val="20"/>
          <w:szCs w:val="20"/>
        </w:rPr>
        <w:t>) требования Заказчико</w:t>
      </w:r>
      <w:proofErr w:type="gramStart"/>
      <w:r w:rsidRPr="00E601BE">
        <w:rPr>
          <w:rFonts w:ascii="Times New Roman" w:hAnsi="Times New Roman"/>
          <w:sz w:val="20"/>
          <w:szCs w:val="20"/>
        </w:rPr>
        <w:t>м(</w:t>
      </w:r>
      <w:proofErr w:type="spellStart"/>
      <w:proofErr w:type="gramEnd"/>
      <w:r w:rsidRPr="00E601BE">
        <w:rPr>
          <w:rFonts w:ascii="Times New Roman" w:hAnsi="Times New Roman"/>
          <w:sz w:val="20"/>
          <w:szCs w:val="20"/>
        </w:rPr>
        <w:t>ами</w:t>
      </w:r>
      <w:proofErr w:type="spellEnd"/>
      <w:r w:rsidRPr="00E601BE">
        <w:rPr>
          <w:rFonts w:ascii="Times New Roman" w:hAnsi="Times New Roman"/>
          <w:sz w:val="20"/>
          <w:szCs w:val="20"/>
        </w:rPr>
        <w:t xml:space="preserve">) представления обеспечения исполнения договора: - организациями инвалидов (физические лица - инвалиды, осуществляющие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 - организациями, входящими в Холдинг; </w:t>
      </w:r>
    </w:p>
    <w:p w:rsidR="00E601BE" w:rsidRDefault="00E601BE" w:rsidP="00E601BE">
      <w:pPr>
        <w:spacing w:after="0" w:line="240" w:lineRule="auto"/>
        <w:ind w:left="360"/>
        <w:contextualSpacing/>
        <w:jc w:val="both"/>
        <w:rPr>
          <w:rFonts w:ascii="Times New Roman" w:hAnsi="Times New Roman"/>
          <w:sz w:val="20"/>
          <w:szCs w:val="20"/>
        </w:rPr>
      </w:pPr>
      <w:r w:rsidRPr="00E601BE">
        <w:rPr>
          <w:rFonts w:ascii="Times New Roman" w:hAnsi="Times New Roman"/>
          <w:sz w:val="20"/>
          <w:szCs w:val="20"/>
        </w:rPr>
        <w:t xml:space="preserve">3.3) значительного снижения курса национальной валюты Республики Казахстан, в период </w:t>
      </w:r>
      <w:proofErr w:type="gramStart"/>
      <w:r w:rsidRPr="00E601BE">
        <w:rPr>
          <w:rFonts w:ascii="Times New Roman" w:hAnsi="Times New Roman"/>
          <w:sz w:val="20"/>
          <w:szCs w:val="20"/>
        </w:rPr>
        <w:t>с даты подписания</w:t>
      </w:r>
      <w:proofErr w:type="gramEnd"/>
      <w:r w:rsidRPr="00E601BE">
        <w:rPr>
          <w:rFonts w:ascii="Times New Roman" w:hAnsi="Times New Roman"/>
          <w:sz w:val="20"/>
          <w:szCs w:val="20"/>
        </w:rPr>
        <w:t xml:space="preserve"> договора о закупках и до даты внесения обеспечения исполнения договора, предусмотренной в договоре о закупках. </w:t>
      </w:r>
    </w:p>
    <w:p w:rsidR="00E601BE" w:rsidRPr="00E601BE" w:rsidRDefault="00E601BE" w:rsidP="00E601BE">
      <w:pPr>
        <w:spacing w:after="0" w:line="240" w:lineRule="auto"/>
        <w:ind w:left="360"/>
        <w:contextualSpacing/>
        <w:jc w:val="both"/>
        <w:rPr>
          <w:rFonts w:ascii="Times New Roman" w:hAnsi="Times New Roman"/>
          <w:sz w:val="20"/>
          <w:szCs w:val="20"/>
        </w:rPr>
      </w:pPr>
      <w:r w:rsidRPr="00E601BE">
        <w:rPr>
          <w:rFonts w:ascii="Times New Roman" w:hAnsi="Times New Roman"/>
          <w:sz w:val="20"/>
          <w:szCs w:val="20"/>
        </w:rPr>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r>
        <w:rPr>
          <w:rFonts w:ascii="Times New Roman" w:hAnsi="Times New Roman"/>
          <w:sz w:val="20"/>
          <w:szCs w:val="20"/>
        </w:rPr>
        <w:t>.</w:t>
      </w:r>
    </w:p>
    <w:p w:rsidR="00287E8C" w:rsidRPr="00CF4903" w:rsidRDefault="00287E8C" w:rsidP="00656375">
      <w:pPr>
        <w:spacing w:after="0" w:line="240" w:lineRule="auto"/>
        <w:contextualSpacing/>
        <w:rPr>
          <w:rFonts w:ascii="Times New Roman" w:hAnsi="Times New Roman"/>
          <w:sz w:val="20"/>
          <w:szCs w:val="20"/>
        </w:rPr>
      </w:pPr>
    </w:p>
    <w:p w:rsidR="00934512" w:rsidRDefault="00CA5554" w:rsidP="00CA5554">
      <w:pPr>
        <w:numPr>
          <w:ilvl w:val="0"/>
          <w:numId w:val="1"/>
        </w:numPr>
        <w:spacing w:after="0" w:line="240" w:lineRule="auto"/>
        <w:contextualSpacing/>
        <w:jc w:val="both"/>
        <w:rPr>
          <w:rFonts w:ascii="Times New Roman" w:hAnsi="Times New Roman"/>
          <w:b/>
          <w:sz w:val="20"/>
          <w:szCs w:val="20"/>
        </w:rPr>
      </w:pPr>
      <w:r w:rsidRPr="00CA5554">
        <w:rPr>
          <w:rFonts w:ascii="Times New Roman" w:hAnsi="Times New Roman"/>
          <w:b/>
          <w:sz w:val="20"/>
          <w:szCs w:val="20"/>
        </w:rPr>
        <w:t>Условия разъяснения положений тендерной документации и проведения встречи</w:t>
      </w:r>
    </w:p>
    <w:p w:rsidR="00CA5554" w:rsidRDefault="00CA5554" w:rsidP="00CA5554">
      <w:pPr>
        <w:numPr>
          <w:ilvl w:val="1"/>
          <w:numId w:val="1"/>
        </w:numPr>
        <w:spacing w:after="0" w:line="240" w:lineRule="auto"/>
        <w:contextualSpacing/>
        <w:jc w:val="both"/>
        <w:rPr>
          <w:rFonts w:ascii="Times New Roman" w:hAnsi="Times New Roman"/>
          <w:sz w:val="20"/>
          <w:szCs w:val="20"/>
        </w:rPr>
      </w:pPr>
      <w:r w:rsidRPr="00CA5554">
        <w:rPr>
          <w:rFonts w:ascii="Times New Roman" w:hAnsi="Times New Roman"/>
          <w:sz w:val="20"/>
          <w:szCs w:val="20"/>
        </w:rPr>
        <w:t xml:space="preserve">Потенциальный поставщик, вправе обратиться с запросом в Системе о разъяснении положений Тендерной документации в срок не позднее 1 рабочих дней до истечения окончательного срока приёма заявок. </w:t>
      </w:r>
    </w:p>
    <w:p w:rsidR="00CA5554" w:rsidRDefault="00CA5554" w:rsidP="00CA5554">
      <w:pPr>
        <w:numPr>
          <w:ilvl w:val="1"/>
          <w:numId w:val="1"/>
        </w:numPr>
        <w:spacing w:after="0" w:line="240" w:lineRule="auto"/>
        <w:contextualSpacing/>
        <w:jc w:val="both"/>
        <w:rPr>
          <w:rFonts w:ascii="Times New Roman" w:hAnsi="Times New Roman"/>
          <w:sz w:val="20"/>
          <w:szCs w:val="20"/>
        </w:rPr>
      </w:pPr>
      <w:r w:rsidRPr="00CA5554">
        <w:rPr>
          <w:rFonts w:ascii="Times New Roman" w:hAnsi="Times New Roman"/>
          <w:sz w:val="20"/>
          <w:szCs w:val="20"/>
        </w:rPr>
        <w:t>Заказчик/Организатор обязан не позднее 1 рабочих дней с момента поступления запроса ответить на него в Системе</w:t>
      </w:r>
    </w:p>
    <w:p w:rsidR="00D60885" w:rsidRDefault="00D60885" w:rsidP="00D60885">
      <w:pPr>
        <w:spacing w:after="0" w:line="240" w:lineRule="auto"/>
        <w:ind w:left="360"/>
        <w:contextualSpacing/>
        <w:jc w:val="both"/>
        <w:rPr>
          <w:rFonts w:ascii="Times New Roman" w:hAnsi="Times New Roman"/>
          <w:sz w:val="20"/>
          <w:szCs w:val="20"/>
        </w:rPr>
      </w:pPr>
    </w:p>
    <w:p w:rsidR="00D60885" w:rsidRDefault="00D60885" w:rsidP="00D60885">
      <w:pPr>
        <w:numPr>
          <w:ilvl w:val="0"/>
          <w:numId w:val="1"/>
        </w:numPr>
        <w:spacing w:after="0" w:line="240" w:lineRule="auto"/>
        <w:contextualSpacing/>
        <w:jc w:val="both"/>
        <w:rPr>
          <w:rFonts w:ascii="Times New Roman" w:hAnsi="Times New Roman"/>
          <w:b/>
          <w:sz w:val="20"/>
          <w:szCs w:val="20"/>
        </w:rPr>
      </w:pPr>
      <w:r w:rsidRPr="00D60885">
        <w:rPr>
          <w:rFonts w:ascii="Times New Roman" w:hAnsi="Times New Roman"/>
          <w:b/>
          <w:sz w:val="20"/>
          <w:szCs w:val="20"/>
        </w:rPr>
        <w:t>Порядок и сроки внесения изменений и дополнений в тендерную документацию</w:t>
      </w:r>
    </w:p>
    <w:p w:rsidR="00D60885" w:rsidRDefault="00D60885" w:rsidP="00D60885">
      <w:pPr>
        <w:numPr>
          <w:ilvl w:val="1"/>
          <w:numId w:val="1"/>
        </w:numPr>
        <w:spacing w:after="0" w:line="240" w:lineRule="auto"/>
        <w:contextualSpacing/>
        <w:jc w:val="both"/>
        <w:rPr>
          <w:rFonts w:ascii="Times New Roman" w:hAnsi="Times New Roman"/>
          <w:sz w:val="20"/>
          <w:szCs w:val="20"/>
        </w:rPr>
      </w:pPr>
      <w:r w:rsidRPr="00D60885">
        <w:rPr>
          <w:rFonts w:ascii="Times New Roman" w:hAnsi="Times New Roman"/>
          <w:sz w:val="20"/>
          <w:szCs w:val="20"/>
        </w:rPr>
        <w:t xml:space="preserve">В </w:t>
      </w:r>
      <w:proofErr w:type="gramStart"/>
      <w:r w:rsidRPr="00D60885">
        <w:rPr>
          <w:rFonts w:ascii="Times New Roman" w:hAnsi="Times New Roman"/>
          <w:sz w:val="20"/>
          <w:szCs w:val="20"/>
        </w:rPr>
        <w:t>случае</w:t>
      </w:r>
      <w:proofErr w:type="gramEnd"/>
      <w:r w:rsidRPr="00D60885">
        <w:rPr>
          <w:rFonts w:ascii="Times New Roman" w:hAnsi="Times New Roman"/>
          <w:sz w:val="20"/>
          <w:szCs w:val="20"/>
        </w:rPr>
        <w:t xml:space="preserve"> внесения изменений и дополнений в тендерную документацию окончательный срок предоставления тендерных заявок продлевается на количество дней, прошедших со дня объявления закупки до даты внесения изменений и дополнений. 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в Системе. При этом данные тендерные заявки отзываются.</w:t>
      </w:r>
    </w:p>
    <w:p w:rsidR="005E1937" w:rsidRDefault="005E1937" w:rsidP="004E0B01">
      <w:pPr>
        <w:spacing w:after="0" w:line="240" w:lineRule="auto"/>
        <w:ind w:left="360"/>
        <w:contextualSpacing/>
        <w:jc w:val="both"/>
        <w:rPr>
          <w:rFonts w:ascii="Times New Roman" w:hAnsi="Times New Roman"/>
          <w:b/>
          <w:bCs/>
          <w:sz w:val="20"/>
          <w:szCs w:val="20"/>
        </w:rPr>
      </w:pPr>
    </w:p>
    <w:p w:rsidR="004E0B01" w:rsidRPr="004E0B01" w:rsidRDefault="004E0B01" w:rsidP="004E0B01">
      <w:pPr>
        <w:spacing w:after="0" w:line="240" w:lineRule="auto"/>
        <w:ind w:left="360"/>
        <w:contextualSpacing/>
        <w:jc w:val="both"/>
        <w:rPr>
          <w:rFonts w:ascii="Times New Roman" w:hAnsi="Times New Roman"/>
          <w:b/>
          <w:bCs/>
          <w:sz w:val="20"/>
          <w:szCs w:val="20"/>
        </w:rPr>
      </w:pPr>
      <w:r w:rsidRPr="004E0B01">
        <w:rPr>
          <w:rFonts w:ascii="Times New Roman" w:hAnsi="Times New Roman"/>
          <w:b/>
          <w:bCs/>
          <w:sz w:val="20"/>
          <w:szCs w:val="20"/>
        </w:rPr>
        <w:t>Приложения к Тендерной документации:</w:t>
      </w:r>
    </w:p>
    <w:p w:rsidR="004E0B01" w:rsidRPr="004E0B01" w:rsidRDefault="004E0B01" w:rsidP="004E0B01">
      <w:pPr>
        <w:spacing w:after="0" w:line="240" w:lineRule="auto"/>
        <w:ind w:left="360"/>
        <w:contextualSpacing/>
        <w:jc w:val="both"/>
        <w:rPr>
          <w:rFonts w:ascii="Times New Roman" w:hAnsi="Times New Roman"/>
          <w:b/>
          <w:bCs/>
          <w:sz w:val="20"/>
          <w:szCs w:val="20"/>
        </w:rPr>
      </w:pP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1 «Перечень закупаемых товаров и технические требования к закупаемым товарам»;</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2 «Техническая спецификация»;</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3 «Форма заполнения технической спецификации»;</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4 «Единая методика расчета казахстанского содержания при осуществлении закупок»;</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5 «Заявление (декларация)»</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6 «Форма банковской гарантии обеспечения заявки»;</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7 «Банковская   гарантия (форма обеспечения исполнения договора о закупках)»;</w:t>
      </w:r>
    </w:p>
    <w:p w:rsidR="004E0B01" w:rsidRPr="004E0B01" w:rsidRDefault="004E0B01" w:rsidP="004E0B01">
      <w:pPr>
        <w:spacing w:after="0" w:line="240" w:lineRule="auto"/>
        <w:ind w:left="360"/>
        <w:contextualSpacing/>
        <w:jc w:val="both"/>
        <w:rPr>
          <w:rFonts w:ascii="Times New Roman" w:hAnsi="Times New Roman"/>
          <w:sz w:val="20"/>
          <w:szCs w:val="20"/>
        </w:rPr>
      </w:pPr>
      <w:r w:rsidRPr="004E0B01">
        <w:rPr>
          <w:rFonts w:ascii="Times New Roman" w:hAnsi="Times New Roman"/>
          <w:sz w:val="20"/>
          <w:szCs w:val="20"/>
        </w:rPr>
        <w:t>Приложение 8 «Банковская гарантия (форма обеспечения возврата аванса/предоплаты)»</w:t>
      </w:r>
    </w:p>
    <w:p w:rsidR="00BB386D" w:rsidRDefault="00BB386D" w:rsidP="00BB386D">
      <w:pPr>
        <w:spacing w:after="0" w:line="240" w:lineRule="auto"/>
        <w:ind w:left="360"/>
        <w:contextualSpacing/>
        <w:jc w:val="both"/>
        <w:rPr>
          <w:rFonts w:ascii="Times New Roman" w:hAnsi="Times New Roman"/>
          <w:b/>
          <w:sz w:val="20"/>
          <w:szCs w:val="20"/>
        </w:rPr>
      </w:pPr>
    </w:p>
    <w:p w:rsidR="00BB386D" w:rsidRDefault="00BB386D" w:rsidP="00BB386D">
      <w:pPr>
        <w:spacing w:after="0" w:line="240" w:lineRule="auto"/>
        <w:ind w:left="360"/>
        <w:contextualSpacing/>
        <w:jc w:val="both"/>
        <w:rPr>
          <w:rFonts w:ascii="Times New Roman" w:hAnsi="Times New Roman"/>
          <w:b/>
          <w:sz w:val="20"/>
          <w:szCs w:val="20"/>
        </w:rPr>
      </w:pPr>
      <w:r w:rsidRPr="004E0B01">
        <w:rPr>
          <w:rFonts w:ascii="Times New Roman" w:hAnsi="Times New Roman"/>
          <w:b/>
          <w:sz w:val="20"/>
          <w:szCs w:val="20"/>
        </w:rPr>
        <w:t>Подготовлено:</w:t>
      </w:r>
    </w:p>
    <w:p w:rsidR="002C47C1" w:rsidRPr="004E0B01" w:rsidRDefault="002C47C1" w:rsidP="00BB386D">
      <w:pPr>
        <w:spacing w:after="0" w:line="240" w:lineRule="auto"/>
        <w:ind w:left="360"/>
        <w:contextualSpacing/>
        <w:jc w:val="both"/>
        <w:rPr>
          <w:rFonts w:ascii="Times New Roman" w:hAnsi="Times New Roman"/>
          <w:b/>
          <w:sz w:val="20"/>
          <w:szCs w:val="20"/>
        </w:rPr>
      </w:pPr>
    </w:p>
    <w:p w:rsidR="00BB386D" w:rsidRPr="004E0B01" w:rsidRDefault="00BB386D" w:rsidP="00BB386D">
      <w:pPr>
        <w:spacing w:after="0" w:line="240" w:lineRule="auto"/>
        <w:ind w:left="360"/>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 xml:space="preserve">Ведущий </w:t>
      </w:r>
      <w:r>
        <w:rPr>
          <w:rFonts w:ascii="Times New Roman" w:hAnsi="Times New Roman"/>
          <w:sz w:val="20"/>
          <w:szCs w:val="20"/>
        </w:rPr>
        <w:t>специалист</w:t>
      </w:r>
      <w:r w:rsidRPr="004E0B01">
        <w:rPr>
          <w:rFonts w:ascii="Times New Roman" w:hAnsi="Times New Roman"/>
          <w:sz w:val="20"/>
          <w:szCs w:val="20"/>
        </w:rPr>
        <w:t xml:space="preserve">  отдела</w:t>
      </w:r>
    </w:p>
    <w:p w:rsidR="00BB386D" w:rsidRPr="004E0B01" w:rsidRDefault="00BB386D" w:rsidP="00BB386D">
      <w:pPr>
        <w:spacing w:after="0" w:line="240" w:lineRule="auto"/>
        <w:ind w:left="360"/>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органи</w:t>
      </w:r>
      <w:r>
        <w:rPr>
          <w:rFonts w:ascii="Times New Roman" w:hAnsi="Times New Roman"/>
          <w:sz w:val="20"/>
          <w:szCs w:val="20"/>
        </w:rPr>
        <w:t>зации закупок</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4E0B01">
        <w:rPr>
          <w:rFonts w:ascii="Times New Roman" w:hAnsi="Times New Roman"/>
          <w:sz w:val="20"/>
          <w:szCs w:val="20"/>
        </w:rPr>
        <w:t xml:space="preserve"> </w:t>
      </w:r>
      <w:proofErr w:type="spellStart"/>
      <w:r>
        <w:rPr>
          <w:rFonts w:ascii="Times New Roman" w:hAnsi="Times New Roman"/>
          <w:sz w:val="20"/>
          <w:szCs w:val="20"/>
        </w:rPr>
        <w:t>Б.Куспеков</w:t>
      </w:r>
      <w:proofErr w:type="spellEnd"/>
    </w:p>
    <w:p w:rsidR="00BB386D" w:rsidRPr="004E0B01" w:rsidRDefault="00BB386D" w:rsidP="00BB386D">
      <w:pPr>
        <w:spacing w:after="0" w:line="240" w:lineRule="auto"/>
        <w:contextualSpacing/>
        <w:jc w:val="both"/>
        <w:rPr>
          <w:rFonts w:ascii="Times New Roman" w:hAnsi="Times New Roman"/>
          <w:sz w:val="20"/>
          <w:szCs w:val="20"/>
        </w:rPr>
      </w:pPr>
    </w:p>
    <w:p w:rsidR="00BB386D" w:rsidRPr="004E0B01" w:rsidRDefault="00BB386D" w:rsidP="00BB386D">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Согласовано:</w:t>
      </w:r>
    </w:p>
    <w:p w:rsidR="00BB386D" w:rsidRDefault="00BB386D" w:rsidP="00BB386D">
      <w:pPr>
        <w:spacing w:after="0" w:line="240" w:lineRule="auto"/>
        <w:ind w:left="360"/>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Коммерческий директор</w:t>
      </w:r>
      <w:r w:rsidRPr="004E0B01">
        <w:rPr>
          <w:rFonts w:ascii="Times New Roman" w:hAnsi="Times New Roman"/>
          <w:sz w:val="20"/>
          <w:szCs w:val="20"/>
        </w:rPr>
        <w:tab/>
      </w:r>
      <w:r>
        <w:rPr>
          <w:rFonts w:ascii="Times New Roman" w:hAnsi="Times New Roman"/>
          <w:sz w:val="20"/>
          <w:szCs w:val="20"/>
        </w:rPr>
        <w:t xml:space="preserve">                                                                                                 </w:t>
      </w:r>
      <w:r w:rsidRPr="004E0B01">
        <w:rPr>
          <w:rFonts w:ascii="Times New Roman" w:hAnsi="Times New Roman"/>
          <w:sz w:val="20"/>
          <w:szCs w:val="20"/>
        </w:rPr>
        <w:t xml:space="preserve">С. Шибилов </w:t>
      </w:r>
    </w:p>
    <w:p w:rsidR="00BB386D" w:rsidRDefault="00BB386D" w:rsidP="00BB386D">
      <w:pPr>
        <w:spacing w:after="0" w:line="240" w:lineRule="auto"/>
        <w:ind w:left="360"/>
        <w:contextualSpacing/>
        <w:jc w:val="both"/>
        <w:rPr>
          <w:rFonts w:ascii="Times New Roman" w:hAnsi="Times New Roman"/>
          <w:sz w:val="20"/>
          <w:szCs w:val="20"/>
        </w:rPr>
      </w:pPr>
    </w:p>
    <w:tbl>
      <w:tblPr>
        <w:tblStyle w:val="af0"/>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2693"/>
        <w:gridCol w:w="2126"/>
      </w:tblGrid>
      <w:tr w:rsidR="00BB386D" w:rsidRPr="00D1699C" w:rsidTr="00CF234C">
        <w:tc>
          <w:tcPr>
            <w:tcW w:w="5529" w:type="dxa"/>
          </w:tcPr>
          <w:p w:rsidR="00BB386D" w:rsidRPr="00620C7F" w:rsidRDefault="00BB386D" w:rsidP="00CF234C">
            <w:pPr>
              <w:jc w:val="center"/>
              <w:rPr>
                <w:rFonts w:ascii="Times New Roman" w:hAnsi="Times New Roman"/>
                <w:sz w:val="20"/>
                <w:szCs w:val="20"/>
              </w:rPr>
            </w:pPr>
            <w:r w:rsidRPr="00620C7F">
              <w:rPr>
                <w:rFonts w:ascii="Times New Roman" w:hAnsi="Times New Roman"/>
                <w:sz w:val="20"/>
                <w:szCs w:val="20"/>
              </w:rPr>
              <w:t>Ф</w:t>
            </w:r>
            <w:r>
              <w:rPr>
                <w:rFonts w:ascii="Times New Roman" w:hAnsi="Times New Roman"/>
                <w:sz w:val="20"/>
                <w:szCs w:val="20"/>
              </w:rPr>
              <w:t>и</w:t>
            </w:r>
            <w:r w:rsidRPr="00620C7F">
              <w:rPr>
                <w:rFonts w:ascii="Times New Roman" w:hAnsi="Times New Roman"/>
                <w:sz w:val="20"/>
                <w:szCs w:val="20"/>
              </w:rPr>
              <w:t xml:space="preserve">нансовый контролер - руководитель </w:t>
            </w:r>
            <w:r>
              <w:rPr>
                <w:rFonts w:ascii="Times New Roman" w:hAnsi="Times New Roman"/>
                <w:sz w:val="20"/>
                <w:szCs w:val="20"/>
              </w:rPr>
              <w:t xml:space="preserve">                                    Служ</w:t>
            </w:r>
            <w:r w:rsidRPr="00620C7F">
              <w:rPr>
                <w:rFonts w:ascii="Times New Roman" w:hAnsi="Times New Roman"/>
                <w:sz w:val="20"/>
                <w:szCs w:val="20"/>
              </w:rPr>
              <w:t xml:space="preserve">бы </w:t>
            </w:r>
            <w:r>
              <w:rPr>
                <w:rFonts w:ascii="Times New Roman" w:hAnsi="Times New Roman"/>
                <w:sz w:val="20"/>
                <w:szCs w:val="20"/>
              </w:rPr>
              <w:t xml:space="preserve">  </w:t>
            </w:r>
            <w:r w:rsidRPr="00620C7F">
              <w:rPr>
                <w:rFonts w:ascii="Times New Roman" w:hAnsi="Times New Roman"/>
                <w:sz w:val="20"/>
                <w:szCs w:val="20"/>
              </w:rPr>
              <w:t>финансового контролинга</w:t>
            </w:r>
          </w:p>
        </w:tc>
        <w:tc>
          <w:tcPr>
            <w:tcW w:w="2693" w:type="dxa"/>
          </w:tcPr>
          <w:p w:rsidR="00BB386D" w:rsidRPr="00620C7F" w:rsidRDefault="00BB386D" w:rsidP="00CF234C">
            <w:pPr>
              <w:rPr>
                <w:rFonts w:ascii="Times New Roman" w:hAnsi="Times New Roman"/>
                <w:sz w:val="20"/>
                <w:szCs w:val="20"/>
                <w:lang w:eastAsia="en-US"/>
              </w:rPr>
            </w:pPr>
            <w:r w:rsidRPr="00620C7F">
              <w:rPr>
                <w:rFonts w:ascii="Times New Roman" w:hAnsi="Times New Roman"/>
                <w:sz w:val="20"/>
                <w:szCs w:val="20"/>
                <w:lang w:eastAsia="en-US"/>
              </w:rPr>
              <w:t xml:space="preserve">  </w:t>
            </w:r>
          </w:p>
        </w:tc>
        <w:tc>
          <w:tcPr>
            <w:tcW w:w="2126" w:type="dxa"/>
          </w:tcPr>
          <w:p w:rsidR="00BB386D" w:rsidRPr="00620C7F" w:rsidRDefault="00BB386D" w:rsidP="00CF234C">
            <w:pPr>
              <w:pStyle w:val="af1"/>
              <w:rPr>
                <w:rFonts w:ascii="Times New Roman" w:hAnsi="Times New Roman" w:cs="Times New Roman"/>
                <w:sz w:val="20"/>
                <w:szCs w:val="20"/>
              </w:rPr>
            </w:pPr>
            <w:r>
              <w:rPr>
                <w:rFonts w:ascii="Times New Roman" w:hAnsi="Times New Roman" w:cs="Times New Roman"/>
                <w:sz w:val="20"/>
                <w:szCs w:val="20"/>
              </w:rPr>
              <w:t xml:space="preserve">  </w:t>
            </w:r>
            <w:r w:rsidRPr="00620C7F">
              <w:rPr>
                <w:rFonts w:ascii="Times New Roman" w:hAnsi="Times New Roman" w:cs="Times New Roman"/>
                <w:sz w:val="20"/>
                <w:szCs w:val="20"/>
              </w:rPr>
              <w:t>С.Шарапов</w:t>
            </w:r>
          </w:p>
        </w:tc>
      </w:tr>
    </w:tbl>
    <w:p w:rsidR="00BB386D" w:rsidRDefault="00BB386D" w:rsidP="00BB386D">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Заместитель коммерческого директора                                                                               К. Сатвалдинов</w:t>
      </w:r>
    </w:p>
    <w:p w:rsidR="002C47C1" w:rsidRPr="004E0B01" w:rsidRDefault="002C47C1" w:rsidP="00BB386D">
      <w:pPr>
        <w:spacing w:after="0" w:line="240" w:lineRule="auto"/>
        <w:contextualSpacing/>
        <w:jc w:val="both"/>
        <w:rPr>
          <w:rFonts w:ascii="Times New Roman" w:hAnsi="Times New Roman"/>
          <w:sz w:val="20"/>
          <w:szCs w:val="20"/>
        </w:rPr>
      </w:pPr>
    </w:p>
    <w:p w:rsidR="00BB386D" w:rsidRPr="004E0B01" w:rsidRDefault="00BB386D" w:rsidP="00BB386D">
      <w:pPr>
        <w:spacing w:after="0" w:line="240" w:lineRule="auto"/>
        <w:ind w:left="360"/>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 xml:space="preserve">Начальник отдела организации закупок </w:t>
      </w:r>
    </w:p>
    <w:p w:rsidR="00BB386D" w:rsidRPr="004E0B01" w:rsidRDefault="00BB386D" w:rsidP="00BB386D">
      <w:pPr>
        <w:spacing w:after="0" w:line="240" w:lineRule="auto"/>
        <w:ind w:left="360"/>
        <w:contextualSpacing/>
        <w:jc w:val="both"/>
        <w:rPr>
          <w:rFonts w:ascii="Times New Roman" w:hAnsi="Times New Roman"/>
          <w:sz w:val="20"/>
          <w:szCs w:val="20"/>
        </w:rPr>
      </w:pPr>
      <w:r>
        <w:rPr>
          <w:rFonts w:ascii="Times New Roman" w:hAnsi="Times New Roman"/>
          <w:sz w:val="20"/>
          <w:szCs w:val="20"/>
        </w:rPr>
        <w:t xml:space="preserve">   </w:t>
      </w:r>
      <w:r w:rsidRPr="004E0B01">
        <w:rPr>
          <w:rFonts w:ascii="Times New Roman" w:hAnsi="Times New Roman"/>
          <w:sz w:val="20"/>
          <w:szCs w:val="20"/>
        </w:rPr>
        <w:t>Коммерческой дирекции                                                                                                        В.Кравцова</w:t>
      </w:r>
    </w:p>
    <w:sectPr w:rsidR="00BB386D" w:rsidRPr="004E0B01" w:rsidSect="00B54BEE">
      <w:pgSz w:w="11906" w:h="16838"/>
      <w:pgMar w:top="568"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10" w:rsidRDefault="00230910" w:rsidP="00656375">
      <w:pPr>
        <w:spacing w:after="0" w:line="240" w:lineRule="auto"/>
      </w:pPr>
      <w:r>
        <w:separator/>
      </w:r>
    </w:p>
  </w:endnote>
  <w:endnote w:type="continuationSeparator" w:id="0">
    <w:p w:rsidR="00230910" w:rsidRDefault="00230910" w:rsidP="00656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10" w:rsidRDefault="00230910" w:rsidP="00656375">
      <w:pPr>
        <w:spacing w:after="0" w:line="240" w:lineRule="auto"/>
      </w:pPr>
      <w:r>
        <w:separator/>
      </w:r>
    </w:p>
  </w:footnote>
  <w:footnote w:type="continuationSeparator" w:id="0">
    <w:p w:rsidR="00230910" w:rsidRDefault="00230910" w:rsidP="00656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72EAE4"/>
    <w:lvl w:ilvl="0">
      <w:start w:val="1"/>
      <w:numFmt w:val="decimal"/>
      <w:pStyle w:val="5"/>
      <w:lvlText w:val="%1."/>
      <w:lvlJc w:val="left"/>
      <w:pPr>
        <w:tabs>
          <w:tab w:val="num" w:pos="1492"/>
        </w:tabs>
        <w:ind w:left="1492" w:hanging="360"/>
      </w:pPr>
    </w:lvl>
  </w:abstractNum>
  <w:abstractNum w:abstractNumId="1">
    <w:nsid w:val="0195561E"/>
    <w:multiLevelType w:val="hybridMultilevel"/>
    <w:tmpl w:val="09B6CD84"/>
    <w:lvl w:ilvl="0" w:tplc="25CC886E">
      <w:start w:val="1"/>
      <w:numFmt w:val="decimal"/>
      <w:lvlText w:val="%1)"/>
      <w:lvlJc w:val="left"/>
      <w:pPr>
        <w:ind w:left="1214" w:hanging="93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
    <w:nsid w:val="01A70EB3"/>
    <w:multiLevelType w:val="hybridMultilevel"/>
    <w:tmpl w:val="D4DED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C2E3D"/>
    <w:multiLevelType w:val="hybridMultilevel"/>
    <w:tmpl w:val="672C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9077A"/>
    <w:multiLevelType w:val="hybridMultilevel"/>
    <w:tmpl w:val="3754E7BC"/>
    <w:lvl w:ilvl="0" w:tplc="E0D27254">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B184928"/>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E5C5A0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26710F2"/>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3325AD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92E04D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E1631C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440304A"/>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5605AFC"/>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A127E0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B6D619A"/>
    <w:multiLevelType w:val="hybridMultilevel"/>
    <w:tmpl w:val="C38EC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1E714C5"/>
    <w:multiLevelType w:val="hybridMultilevel"/>
    <w:tmpl w:val="0A047C38"/>
    <w:lvl w:ilvl="0" w:tplc="A42828DC">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4B6829"/>
    <w:multiLevelType w:val="multilevel"/>
    <w:tmpl w:val="F822B9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7F6931CB"/>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9"/>
  </w:num>
  <w:num w:numId="2">
    <w:abstractNumId w:val="13"/>
  </w:num>
  <w:num w:numId="3">
    <w:abstractNumId w:val="12"/>
  </w:num>
  <w:num w:numId="4">
    <w:abstractNumId w:val="10"/>
  </w:num>
  <w:num w:numId="5">
    <w:abstractNumId w:val="11"/>
  </w:num>
  <w:num w:numId="6">
    <w:abstractNumId w:val="6"/>
  </w:num>
  <w:num w:numId="7">
    <w:abstractNumId w:val="7"/>
  </w:num>
  <w:num w:numId="8">
    <w:abstractNumId w:val="5"/>
  </w:num>
  <w:num w:numId="9">
    <w:abstractNumId w:val="20"/>
  </w:num>
  <w:num w:numId="10">
    <w:abstractNumId w:val="9"/>
  </w:num>
  <w:num w:numId="11">
    <w:abstractNumId w:val="8"/>
  </w:num>
  <w:num w:numId="12">
    <w:abstractNumId w:val="16"/>
  </w:num>
  <w:num w:numId="13">
    <w:abstractNumId w:val="2"/>
  </w:num>
  <w:num w:numId="14">
    <w:abstractNumId w:val="3"/>
  </w:num>
  <w:num w:numId="15">
    <w:abstractNumId w:val="14"/>
  </w:num>
  <w:num w:numId="16">
    <w:abstractNumId w:val="15"/>
  </w:num>
  <w:num w:numId="17">
    <w:abstractNumId w:val="4"/>
  </w:num>
  <w:num w:numId="18">
    <w:abstractNumId w:val="18"/>
  </w:num>
  <w:num w:numId="19">
    <w:abstractNumId w:val="1"/>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660C7"/>
    <w:rsid w:val="000E2E6A"/>
    <w:rsid w:val="00137572"/>
    <w:rsid w:val="001406CD"/>
    <w:rsid w:val="001A1529"/>
    <w:rsid w:val="001B018B"/>
    <w:rsid w:val="001D59D0"/>
    <w:rsid w:val="0022656F"/>
    <w:rsid w:val="00230910"/>
    <w:rsid w:val="00262F5F"/>
    <w:rsid w:val="0027078A"/>
    <w:rsid w:val="00287E8C"/>
    <w:rsid w:val="0029346D"/>
    <w:rsid w:val="002B77A6"/>
    <w:rsid w:val="002C47C1"/>
    <w:rsid w:val="002D52E1"/>
    <w:rsid w:val="00301B45"/>
    <w:rsid w:val="00336685"/>
    <w:rsid w:val="00384EF8"/>
    <w:rsid w:val="003F4162"/>
    <w:rsid w:val="003F6F40"/>
    <w:rsid w:val="00412780"/>
    <w:rsid w:val="00457E35"/>
    <w:rsid w:val="00476EAC"/>
    <w:rsid w:val="00482B54"/>
    <w:rsid w:val="004C70DB"/>
    <w:rsid w:val="004E0B01"/>
    <w:rsid w:val="004F0A56"/>
    <w:rsid w:val="00525962"/>
    <w:rsid w:val="005406A2"/>
    <w:rsid w:val="00543EBE"/>
    <w:rsid w:val="005B0538"/>
    <w:rsid w:val="005C3269"/>
    <w:rsid w:val="005D5799"/>
    <w:rsid w:val="005E1937"/>
    <w:rsid w:val="0064391A"/>
    <w:rsid w:val="00656375"/>
    <w:rsid w:val="00660B43"/>
    <w:rsid w:val="00681316"/>
    <w:rsid w:val="006A13D9"/>
    <w:rsid w:val="006E29A2"/>
    <w:rsid w:val="00703461"/>
    <w:rsid w:val="00722CBF"/>
    <w:rsid w:val="00764363"/>
    <w:rsid w:val="00776887"/>
    <w:rsid w:val="007924E5"/>
    <w:rsid w:val="007C1612"/>
    <w:rsid w:val="007E200D"/>
    <w:rsid w:val="00822B7A"/>
    <w:rsid w:val="00873EE5"/>
    <w:rsid w:val="00887A4C"/>
    <w:rsid w:val="008A6892"/>
    <w:rsid w:val="008D734D"/>
    <w:rsid w:val="008F62A9"/>
    <w:rsid w:val="008F7B6D"/>
    <w:rsid w:val="0091699B"/>
    <w:rsid w:val="00934512"/>
    <w:rsid w:val="0098630C"/>
    <w:rsid w:val="009863CE"/>
    <w:rsid w:val="00986B44"/>
    <w:rsid w:val="009E6E58"/>
    <w:rsid w:val="00A05B70"/>
    <w:rsid w:val="00A14DF3"/>
    <w:rsid w:val="00A17750"/>
    <w:rsid w:val="00A343A2"/>
    <w:rsid w:val="00A660C7"/>
    <w:rsid w:val="00AB366D"/>
    <w:rsid w:val="00AD05D7"/>
    <w:rsid w:val="00B065B3"/>
    <w:rsid w:val="00B23908"/>
    <w:rsid w:val="00B43B26"/>
    <w:rsid w:val="00B54BEE"/>
    <w:rsid w:val="00B56E9F"/>
    <w:rsid w:val="00B75979"/>
    <w:rsid w:val="00B93470"/>
    <w:rsid w:val="00B95D18"/>
    <w:rsid w:val="00BB386D"/>
    <w:rsid w:val="00BD0CAC"/>
    <w:rsid w:val="00C012B4"/>
    <w:rsid w:val="00C249C8"/>
    <w:rsid w:val="00C2615A"/>
    <w:rsid w:val="00C87716"/>
    <w:rsid w:val="00CA5554"/>
    <w:rsid w:val="00CD6AD6"/>
    <w:rsid w:val="00CD6B38"/>
    <w:rsid w:val="00CD75A6"/>
    <w:rsid w:val="00D60885"/>
    <w:rsid w:val="00D81742"/>
    <w:rsid w:val="00D95E24"/>
    <w:rsid w:val="00DE432E"/>
    <w:rsid w:val="00E156E8"/>
    <w:rsid w:val="00E31FD1"/>
    <w:rsid w:val="00E601BE"/>
    <w:rsid w:val="00E958BD"/>
    <w:rsid w:val="00EB56EB"/>
    <w:rsid w:val="00F05820"/>
    <w:rsid w:val="00F45ED3"/>
    <w:rsid w:val="00F5009B"/>
    <w:rsid w:val="00F7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 w:type="table" w:styleId="af0">
    <w:name w:val="Table Grid"/>
    <w:basedOn w:val="a1"/>
    <w:uiPriority w:val="59"/>
    <w:rsid w:val="00B23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DE432E"/>
    <w:pPr>
      <w:spacing w:after="0" w:line="240" w:lineRule="auto"/>
    </w:pPr>
  </w:style>
  <w:style w:type="paragraph" w:styleId="5">
    <w:name w:val="List Number 5"/>
    <w:basedOn w:val="a"/>
    <w:uiPriority w:val="99"/>
    <w:semiHidden/>
    <w:unhideWhenUsed/>
    <w:rsid w:val="00F7590D"/>
    <w:pPr>
      <w:numPr>
        <w:numId w:val="21"/>
      </w:numPr>
      <w:contextualSpacing/>
    </w:pPr>
  </w:style>
  <w:style w:type="character" w:customStyle="1" w:styleId="s0">
    <w:name w:val="s0"/>
    <w:basedOn w:val="a0"/>
    <w:rsid w:val="00F05820"/>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 w:type="table" w:styleId="af0">
    <w:name w:val="Table Grid"/>
    <w:basedOn w:val="a1"/>
    <w:uiPriority w:val="59"/>
    <w:rsid w:val="00B23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E43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sk.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06061.170000%20" TargetMode="External"/><Relationship Id="rId5" Type="http://schemas.openxmlformats.org/officeDocument/2006/relationships/webSettings" Target="webSettings.xml"/><Relationship Id="rId10" Type="http://schemas.openxmlformats.org/officeDocument/2006/relationships/hyperlink" Target="jl:1006061.350000%20" TargetMode="External"/><Relationship Id="rId4" Type="http://schemas.openxmlformats.org/officeDocument/2006/relationships/settings" Target="settings.xml"/><Relationship Id="rId9" Type="http://schemas.openxmlformats.org/officeDocument/2006/relationships/hyperlink" Target="http://www.bogatyr.kz/"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C2D3-9247-420A-892B-6B3DD4AF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7786</Words>
  <Characters>44383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Бегимов Галымжан</dc:creator>
  <cp:lastModifiedBy>omts27</cp:lastModifiedBy>
  <cp:revision>16</cp:revision>
  <cp:lastPrinted>2020-06-29T08:08:00Z</cp:lastPrinted>
  <dcterms:created xsi:type="dcterms:W3CDTF">2020-06-05T11:12:00Z</dcterms:created>
  <dcterms:modified xsi:type="dcterms:W3CDTF">2020-06-30T05:08:00Z</dcterms:modified>
</cp:coreProperties>
</file>