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7B" w:rsidRPr="00A21E7B" w:rsidRDefault="00A21E7B" w:rsidP="00A21E7B">
      <w:pPr>
        <w:widowControl w:val="0"/>
        <w:adjustRightInd w:val="0"/>
        <w:spacing w:after="0" w:line="360" w:lineRule="atLeast"/>
        <w:jc w:val="right"/>
        <w:rPr>
          <w:rFonts w:ascii="Times New Roman" w:hAnsi="Times New Roman"/>
          <w:color w:val="000000"/>
          <w:sz w:val="24"/>
          <w:szCs w:val="24"/>
        </w:rPr>
      </w:pPr>
      <w:r w:rsidRPr="00A21E7B">
        <w:rPr>
          <w:rFonts w:ascii="Times New Roman" w:hAnsi="Times New Roman"/>
          <w:color w:val="000000"/>
          <w:sz w:val="24"/>
          <w:szCs w:val="24"/>
        </w:rPr>
        <w:t xml:space="preserve">Приложение №8 </w:t>
      </w:r>
    </w:p>
    <w:p w:rsidR="00A21E7B" w:rsidRDefault="00A21E7B" w:rsidP="00A21E7B">
      <w:pPr>
        <w:widowControl w:val="0"/>
        <w:adjustRightInd w:val="0"/>
        <w:spacing w:after="0" w:line="360" w:lineRule="atLeast"/>
        <w:jc w:val="right"/>
        <w:rPr>
          <w:rFonts w:ascii="Times New Roman" w:hAnsi="Times New Roman"/>
          <w:color w:val="000000"/>
          <w:sz w:val="24"/>
          <w:szCs w:val="24"/>
        </w:rPr>
      </w:pPr>
      <w:r w:rsidRPr="00A21E7B">
        <w:rPr>
          <w:rFonts w:ascii="Times New Roman" w:hAnsi="Times New Roman"/>
          <w:color w:val="000000"/>
          <w:sz w:val="24"/>
          <w:szCs w:val="24"/>
        </w:rPr>
        <w:t>к Договору</w:t>
      </w:r>
    </w:p>
    <w:p w:rsidR="00A21E7B" w:rsidRPr="00A21E7B" w:rsidRDefault="00A21E7B" w:rsidP="00A21E7B">
      <w:pPr>
        <w:widowControl w:val="0"/>
        <w:adjustRightInd w:val="0"/>
        <w:spacing w:after="0" w:line="360" w:lineRule="atLeast"/>
        <w:jc w:val="right"/>
        <w:rPr>
          <w:rFonts w:ascii="Times New Roman" w:hAnsi="Times New Roman"/>
          <w:color w:val="000000"/>
          <w:sz w:val="24"/>
          <w:szCs w:val="24"/>
        </w:rPr>
      </w:pPr>
    </w:p>
    <w:p w:rsidR="006F1F2C" w:rsidRPr="00286790" w:rsidRDefault="006F1F2C" w:rsidP="006F1F2C">
      <w:pPr>
        <w:widowControl w:val="0"/>
        <w:adjustRightInd w:val="0"/>
        <w:spacing w:line="360" w:lineRule="atLeast"/>
        <w:jc w:val="both"/>
        <w:rPr>
          <w:rFonts w:cs="Arial"/>
          <w:sz w:val="24"/>
          <w:szCs w:val="24"/>
        </w:rPr>
      </w:pPr>
      <w:r w:rsidRPr="00286790">
        <w:rPr>
          <w:b/>
          <w:color w:val="000000"/>
          <w:sz w:val="28"/>
          <w:szCs w:val="28"/>
        </w:rPr>
        <w:t>Т</w:t>
      </w:r>
      <w:r w:rsidRPr="00286790">
        <w:rPr>
          <w:rFonts w:cs="Arial"/>
          <w:b/>
          <w:color w:val="000000"/>
          <w:sz w:val="24"/>
          <w:szCs w:val="24"/>
        </w:rPr>
        <w:t>иповой договор страхования гражданско-правовой ответственности поставщика</w:t>
      </w:r>
    </w:p>
    <w:p w:rsidR="006F1F2C" w:rsidRPr="00286790" w:rsidRDefault="006F1F2C" w:rsidP="006F1F2C">
      <w:pPr>
        <w:widowControl w:val="0"/>
        <w:adjustRightInd w:val="0"/>
        <w:spacing w:after="0" w:line="240" w:lineRule="auto"/>
        <w:jc w:val="both"/>
        <w:rPr>
          <w:rFonts w:cs="Arial"/>
          <w:sz w:val="24"/>
          <w:szCs w:val="24"/>
        </w:rPr>
      </w:pP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город ______________ серия ____ № ____ "____" __________ 20__ года__________________________________________________________,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страховой организации)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в лице 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фамилия, имя и отчество (при его наличии) (далее – Ф.И.О.) уполномоченного лица) действующего на основании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положения или доверенности)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Ф.И.О. (при его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действующего на основании 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лицензии или доверенности)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286790">
        <w:rPr>
          <w:rFonts w:cs="Arial"/>
          <w:color w:val="000000"/>
          <w:sz w:val="24"/>
          <w:szCs w:val="24"/>
        </w:rPr>
        <w:t>квазигосударственного</w:t>
      </w:r>
      <w:proofErr w:type="spellEnd"/>
      <w:r w:rsidRPr="00286790">
        <w:rPr>
          <w:rFonts w:cs="Arial"/>
          <w:color w:val="000000"/>
          <w:sz w:val="24"/>
          <w:szCs w:val="24"/>
        </w:rPr>
        <w:t xml:space="preserve"> сектора", Порядка осуществления закупок акционерным обществом «Фонд национального благосостояния «</w:t>
      </w:r>
      <w:proofErr w:type="spellStart"/>
      <w:r w:rsidRPr="00286790">
        <w:rPr>
          <w:rFonts w:cs="Arial"/>
          <w:color w:val="000000"/>
          <w:sz w:val="24"/>
          <w:szCs w:val="24"/>
        </w:rPr>
        <w:t>Самрук-Қазына</w:t>
      </w:r>
      <w:proofErr w:type="spellEnd"/>
      <w:r w:rsidRPr="00286790">
        <w:rPr>
          <w:rFonts w:cs="Arial"/>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286790">
        <w:rPr>
          <w:rFonts w:cs="Arial"/>
          <w:color w:val="000000"/>
          <w:sz w:val="24"/>
          <w:szCs w:val="24"/>
        </w:rPr>
        <w:t>Самрук-Қазына</w:t>
      </w:r>
      <w:proofErr w:type="spellEnd"/>
      <w:r w:rsidRPr="00286790">
        <w:rPr>
          <w:rFonts w:cs="Arial"/>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6F1F2C" w:rsidRPr="00286790" w:rsidRDefault="006F1F2C" w:rsidP="006F1F2C">
      <w:pPr>
        <w:widowControl w:val="0"/>
        <w:adjustRightInd w:val="0"/>
        <w:spacing w:after="0" w:line="240" w:lineRule="auto"/>
        <w:jc w:val="both"/>
        <w:rPr>
          <w:rFonts w:cs="Arial"/>
          <w:b/>
          <w:color w:val="000000"/>
          <w:sz w:val="24"/>
          <w:szCs w:val="24"/>
        </w:rPr>
      </w:pPr>
      <w:r w:rsidRPr="00286790">
        <w:rPr>
          <w:rFonts w:cs="Arial"/>
          <w:b/>
          <w:color w:val="000000"/>
          <w:sz w:val="24"/>
          <w:szCs w:val="24"/>
        </w:rPr>
        <w:t xml:space="preserve">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 Основные понятия, используемые в настоящем Договоре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В настоящем Договоре используются следующие основные понятия: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w:t>
      </w:r>
      <w:r w:rsidRPr="00286790">
        <w:rPr>
          <w:rFonts w:cs="Arial"/>
          <w:color w:val="000000"/>
          <w:sz w:val="24"/>
          <w:szCs w:val="24"/>
        </w:rPr>
        <w:lastRenderedPageBreak/>
        <w:t>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2. Предмет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3. Выгодоприобретатель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Выгодоприобретателем по настоящему Договору является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заказчика)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(юридический адрес)</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(бизнес-идентификационный номер заказчика)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4. Размер страховой суммы и страховой премии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5. Страховой случай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5.2. Документом, подтверждающим наступление страхового случая, является </w:t>
      </w:r>
      <w:r w:rsidRPr="00286790">
        <w:rPr>
          <w:rFonts w:cs="Arial"/>
          <w:color w:val="000000"/>
          <w:sz w:val="24"/>
          <w:szCs w:val="24"/>
        </w:rPr>
        <w:lastRenderedPageBreak/>
        <w:t>письменное уведомление Выгодоприобретателя, направленное в адрес Страховщика, с приложением копий подтверждающих документов: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копии договора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копия актов сверки по расчетам за принятые товары, выполненные работы, оказанные услуги при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6. Права и обязанности Сторон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6.1. Страхователь вправе: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получить дубликат Договора страхования в случае его утери;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досрочно расторгнуть Договор на основаниях, предусмотренных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6.2. Страхователь обязан: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уплатить страховую премию в размере, порядке и сроки, установленные пунктом 4.2.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обеспечить расследование обстоятельств наступления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 обеспечить переход к Страховщику права требования к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w:t>
      </w:r>
      <w:r w:rsidRPr="00286790">
        <w:rPr>
          <w:rFonts w:cs="Arial"/>
          <w:color w:val="000000"/>
          <w:sz w:val="24"/>
          <w:szCs w:val="24"/>
        </w:rPr>
        <w:lastRenderedPageBreak/>
        <w:t>выплатить Страховщику неустойку в размере ____ (__________________) прописью процента от суммы, подлежащей возмещению, за каждый день просрочки.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6.3. Страховщик вправе: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получить страховую премию в размере, порядке и сроки, установленные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получить уведомление о наступлении страхового случая и его документальное подтверждение;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6.4. Страховщик обязан: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своевременно принять заявление Страхователя о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обеспечить тайну страхования;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возместить страхователю расходы, произведенные им для уменьшения убытков при страховом случае;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lastRenderedPageBreak/>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7. Определение размера страховой выплаты и порядок ее осуществления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7.3. Страховая выплата производится, если страховой случай произошел в течение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8. Право обратного требования к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9. Основания освобождения страховщика от осуществления страховой выплаты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9.1. Основанием для отказа страховщика в осуществлении страховой выплаты может быть: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осуществление Страховщиком страховой выплаты в размере страховой суммы;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основания, предусмотренные пунктом 2 статьи 839 Гражданского кодекса.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10. Ответственность сторон и обстоятельства непреодолимой силы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w:t>
      </w:r>
      <w:r w:rsidRPr="00286790">
        <w:rPr>
          <w:rFonts w:cs="Arial"/>
          <w:color w:val="000000"/>
          <w:sz w:val="24"/>
          <w:szCs w:val="24"/>
        </w:rPr>
        <w:lastRenderedPageBreak/>
        <w:t>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К таким обстоятельствам не относится, в частности, отсутствие на рынке нужных для исполнения товаров, работ или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11. Срок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11.2. Период действия страховой защиты совпадает со сроком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11.3. Местом действия настоящего Договора является территория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12. Изменение условий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13. Прекращение и досрочное расторжение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13.1. Настоящий Договор считается прекращенным в следующих случаях: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истечения срока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досрочного прекращения настоящего Договора согласно статье 841 Гражданского кодекса;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w:t>
      </w:r>
      <w:r w:rsidRPr="00286790">
        <w:rPr>
          <w:rFonts w:cs="Arial"/>
          <w:color w:val="000000"/>
          <w:sz w:val="24"/>
          <w:szCs w:val="24"/>
        </w:rPr>
        <w:lastRenderedPageBreak/>
        <w:t>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14. Порядок разрешения споров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14.2. Все споры, возникающие между Сторонами по настоящему Договору, разрешаются путем проведения переговоров.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15. Заключительные положения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15.3. Остальные взаимоотношения, не предусмотренные условиями настоящего Договора, регулируются Гражданским кодексом.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6F1F2C" w:rsidRPr="00286790" w:rsidRDefault="006F1F2C" w:rsidP="006F1F2C">
      <w:pPr>
        <w:widowControl w:val="0"/>
        <w:adjustRightInd w:val="0"/>
        <w:spacing w:after="0" w:line="240" w:lineRule="auto"/>
        <w:jc w:val="both"/>
        <w:rPr>
          <w:rFonts w:cs="Arial"/>
          <w:b/>
          <w:color w:val="000000"/>
          <w:sz w:val="24"/>
          <w:szCs w:val="24"/>
        </w:rPr>
      </w:pP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"СТРАХОВЩИК"</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"СТРАХОВАТЕЛЬ"</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БИН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ИИН/БИН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Резидент___/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 xml:space="preserve">Нерезидент ___ </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 xml:space="preserve">деятельности </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Резидент 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Нерезидент 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деятельности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r>
      <w:tr w:rsidR="006F1F2C" w:rsidRPr="00B24F7B"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подпись)</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rsidR="006F1F2C" w:rsidRPr="00B24F7B"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подпись)</w:t>
            </w:r>
          </w:p>
        </w:tc>
      </w:tr>
    </w:tbl>
    <w:p w:rsidR="006D374A" w:rsidRDefault="006D374A"/>
    <w:p w:rsidR="006D374A" w:rsidRPr="00A21E7B" w:rsidRDefault="00A21E7B" w:rsidP="00A21E7B">
      <w:pPr>
        <w:jc w:val="right"/>
        <w:rPr>
          <w:rFonts w:ascii="Times New Roman" w:hAnsi="Times New Roman"/>
        </w:rPr>
      </w:pPr>
      <w:proofErr w:type="spellStart"/>
      <w:r w:rsidRPr="00A21E7B">
        <w:rPr>
          <w:rFonts w:ascii="Times New Roman" w:hAnsi="Times New Roman"/>
          <w:sz w:val="24"/>
        </w:rPr>
        <w:lastRenderedPageBreak/>
        <w:t>Шартқа</w:t>
      </w:r>
      <w:proofErr w:type="spellEnd"/>
      <w:r w:rsidRPr="00A21E7B">
        <w:rPr>
          <w:rFonts w:ascii="Times New Roman" w:hAnsi="Times New Roman"/>
          <w:sz w:val="24"/>
        </w:rPr>
        <w:t xml:space="preserve"> </w:t>
      </w:r>
      <w:r w:rsidRPr="00A21E7B">
        <w:rPr>
          <w:rStyle w:val="ezkurwreuab5ozgtqnkl"/>
          <w:rFonts w:ascii="Times New Roman" w:hAnsi="Times New Roman"/>
          <w:sz w:val="24"/>
        </w:rPr>
        <w:t>№8</w:t>
      </w:r>
      <w:r w:rsidRPr="00A21E7B">
        <w:rPr>
          <w:rFonts w:ascii="Times New Roman" w:hAnsi="Times New Roman"/>
          <w:sz w:val="24"/>
        </w:rPr>
        <w:t xml:space="preserve"> </w:t>
      </w:r>
      <w:proofErr w:type="spellStart"/>
      <w:r w:rsidRPr="00A21E7B">
        <w:rPr>
          <w:rStyle w:val="ezkurwreuab5ozgtqnkl"/>
          <w:rFonts w:ascii="Times New Roman" w:hAnsi="Times New Roman"/>
          <w:sz w:val="24"/>
        </w:rPr>
        <w:t>қосымша</w:t>
      </w:r>
      <w:bookmarkStart w:id="0" w:name="_GoBack"/>
      <w:bookmarkEnd w:id="0"/>
      <w:proofErr w:type="spellEnd"/>
    </w:p>
    <w:p w:rsidR="006D374A" w:rsidRDefault="006D374A"/>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Өнім берушінің азаматтық-құқықтық жауапкершілігін сақтандырудың үлгілік шарты</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 қаласы ____ № ____сериясы 20__ жылғы «____» __________ 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(сақтандыру ұйымының атауы)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(жарғы, ереже немесе сенімхат)</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«жалпы сақтандыру» саласы бойынша 20__ жылғы «___» _________ № 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сақтандыру (қайта сақтандыру) қызметін жүзеге асыру құқығына лицензияның</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және Сақтандыру қағидаларының негізінде әрекет ететін 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(уәкілетті тұлғаның 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(лауазымы, тегі, аты және әкесінің аты (бар болса) (бұдан әрі – Т.А.Ә.)</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бір тараптан және бұдан әрі «Сақтанушы» деп аталатын,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атынан _________________________________________ негізінде әрекет ететін,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(жарғы, лицензия немесе сенімхат)</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(лауазымы, Т.А.Ә. (бар болса))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екінші тараптан, бірлесіп «Тараптар» деп аталатындар,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 xml:space="preserve">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1-тарау. Осы Шартта пайдаланылатын негізгі ұғымдар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Осы Шартта мынадай негізгі ұғымдар пайдаланылады: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3) Сақтанушы – Сақтандырушымен осы Шартты жасасқан тұлға (Сатып алу </w:t>
      </w:r>
      <w:r w:rsidRPr="00842299">
        <w:rPr>
          <w:rFonts w:cs="Arial"/>
          <w:color w:val="000000"/>
          <w:sz w:val="24"/>
          <w:szCs w:val="24"/>
          <w:lang w:val="kk-KZ"/>
        </w:rPr>
        <w:lastRenderedPageBreak/>
        <w:t>тәртібінің 2-бабы 1-тармағының 43) тармақшасына сәйкес өнім беруші);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2-тарау. Шарттың мәні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3-тарау. Пайда алушы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Осы Шарт бойынша пайда алушы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______________________________________________________________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(тапсырыс берушінің атауы)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(заңды мекенжайы)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______________________________________________________________</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(тапсырыс берушінің бизнес-сәйкестендіру нөмірі)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4-тарау. Сақтандыру сомасы мен сақтандыру сыйлықақысының мөлшері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5-тарау. Сақтандыру жағдайы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тауарларды (жұмыстарды, көрсетілетін қызметтерді) сатып алу туралы шарттың көшірмелері;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lastRenderedPageBreak/>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жағдайының басталу фактісін және болған кезде келтірілген залал сомасын растайтын құжаттар.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6-тарау. Тараптардың құқықтары мен міндеттері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6.1. Сақтанушының:</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жоғалған жағдайда Сақтандыру шартының телнұсқасын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Шартта көзделген негіздерде Шартты мерзімінен бұрын бұзуға құқығы бар.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6.2. Сақтанушы: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Шарттың 4.2-тармағында белгіленген мөлшерде, тәртіпте және мерзімде сақтандыру сыйлықақысын төлеуге;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жағдайының басталған мән-жайларының тергеуін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lastRenderedPageBreak/>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6.3. Сақтандырушы: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Шартпен белгіленген мөлшерде, тәртіпте және мерзімде сақтандыру сыйлықақысын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 жағдайының басталуы туралы хабарлама мен оның құжаттамалық дәлелдерін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6.4. Сақтандырушы: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Сақтанушының сақтандыру жағдайының басталуы туралы өтінішін уақтылы қабылдауға;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сақтандырудың құпиясын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Сақтанушыға сақтандыру жағдайы кезіндегі шығындарды азайту үшін жүргізілген шығыстарды өтеуге;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6.5. Пайда алушы осы Шартта белгіленген мөлшерде, тәртіппен және мерзімдерде сақтандыру төлемін алуға құқылы.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6.6. Пайда алушы Сақтанушы тауарлар (жұмыстар, көрсетілетін қызметтер) туралы </w:t>
      </w:r>
      <w:r w:rsidRPr="00842299">
        <w:rPr>
          <w:rFonts w:cs="Arial"/>
          <w:color w:val="000000"/>
          <w:sz w:val="24"/>
          <w:szCs w:val="24"/>
          <w:lang w:val="kk-KZ"/>
        </w:rPr>
        <w:lastRenderedPageBreak/>
        <w:t>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6D374A" w:rsidRPr="00842299" w:rsidRDefault="006D374A" w:rsidP="006D374A">
      <w:pPr>
        <w:widowControl w:val="0"/>
        <w:adjustRightInd w:val="0"/>
        <w:spacing w:after="0" w:line="240" w:lineRule="auto"/>
        <w:jc w:val="both"/>
        <w:rPr>
          <w:rFonts w:cs="Arial"/>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7-тарау. Сақтандыру төлемінің мөлшерін және оны жүзеге асыру тәртібін айқындау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7.3. Егер сақтандыру жағдайы осы Шарттың қолданылу мерзімі ішінде болса, сақтандыру төлемі жүргізіледі.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8-тарау. Сақтандыру жағдайының басталуына жауапты тұлғаға кері талап қою құқығы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9-тарау. Сақтандырушыны сақтандыру төлемін жүзеге асырудан босату негіздері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9.1. Сақтандырушының сақтандыру төлемдерiн жүзеге асырудан бас тартуына мыналар: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Пайда алушының сақтандыру жағдайының басталуына жауапты тұлғадан тиісті шығындардың өтелуін алу;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Сақтандырушының сақтандыру сомасы мөлшерінде сақтандыру төлемін жүзеге асыруы;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Азаматтық кодекстің 839-бабының 2-тармағында көзделген негіздер негiз болуы мүмкiн.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10-тарау. Тараптардың жауапкершілігі және еңсерілмейтін күштердің мән-жайлары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lastRenderedPageBreak/>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11-тарау. Шарттың қолданыс мерзімі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11.2. Сақтандыру қорғау қолданысы кезеңі Шарттың қолданыс мерзімімен сәйкес келеді.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11.3. Осы Шарттың қолданылу орны Қазақстан Республикасының аумағы.</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12-тарау. Шарт талаптарын өзгерту</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13-тарау. Шартты мерзімінен бұрын тоқтату және бұзу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13.1. Осы Шарт мынадай:</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Шарттың қолданыс мерзімінің өтуі;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Азаматтық Кодекстің 841-бабына сәйкес осы Шартты мерзімінен бұрын тоқтату;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lastRenderedPageBreak/>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14-тарау. Дауларды шешу тәртібі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14.1. Осы Шарттың ережелерімен реттелмеген Тараптардың өзара қарым-қатынастары Қазақстан Республикасының заңнамасымен реттеледі.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14.2. Тараптар арасында осы Шарт бойынша туындайтын барлық даулар келіссөздер жүргізу жолымен шешіледі.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15-тарау. Қорытынды ережелер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15.3. Осы Шарттың талаптарында көзделмеген қалған өзара қарым-қатынастар Азаматтық кодекспен реттеледі.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«САҚТАНДЫРУШЫ»</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«САҚТАНУШЫ»</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Атауы: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Атауы: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Мекенжайы: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Мекенжайы: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БСН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ЖСН/БСН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ЖСК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ЖСК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БСК 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Резидент___/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Бейрезидент ___ </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(елді көрсету)</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Экономикалық қызметтің түрі</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 секторының коды</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БСК 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Резидент___/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Бейрезидент ___ </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(елді көрсету)</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Экономикалық қызметтің түрі</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 секторының коды</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lastRenderedPageBreak/>
              <w:t>___________________</w:t>
            </w:r>
          </w:p>
          <w:p w:rsidR="006D374A" w:rsidRPr="00842299" w:rsidRDefault="006D374A" w:rsidP="00CB308E">
            <w:pPr>
              <w:widowControl w:val="0"/>
              <w:tabs>
                <w:tab w:val="left" w:pos="4523"/>
              </w:tabs>
              <w:adjustRightInd w:val="0"/>
              <w:spacing w:after="0" w:line="240" w:lineRule="auto"/>
              <w:jc w:val="both"/>
              <w:rPr>
                <w:rFonts w:cs="Arial"/>
                <w:sz w:val="24"/>
                <w:szCs w:val="24"/>
                <w:lang w:val="kk-KZ"/>
              </w:rPr>
            </w:pPr>
            <w:r w:rsidRPr="00842299">
              <w:rPr>
                <w:rFonts w:cs="Arial"/>
                <w:color w:val="000000"/>
                <w:sz w:val="24"/>
                <w:szCs w:val="24"/>
                <w:lang w:val="kk-KZ"/>
              </w:rPr>
              <w:t>(аты-жөні (бар болса),</w:t>
            </w:r>
          </w:p>
          <w:p w:rsidR="006D374A" w:rsidRPr="00842299" w:rsidRDefault="006D374A" w:rsidP="00CB308E">
            <w:pPr>
              <w:widowControl w:val="0"/>
              <w:tabs>
                <w:tab w:val="left" w:pos="4523"/>
              </w:tabs>
              <w:adjustRightInd w:val="0"/>
              <w:spacing w:after="0" w:line="240" w:lineRule="auto"/>
              <w:jc w:val="both"/>
              <w:rPr>
                <w:rFonts w:cs="Arial"/>
                <w:sz w:val="24"/>
                <w:szCs w:val="24"/>
                <w:lang w:val="kk-KZ"/>
              </w:rPr>
            </w:pPr>
            <w:r w:rsidRPr="00842299">
              <w:rPr>
                <w:rFonts w:cs="Arial"/>
                <w:color w:val="000000"/>
                <w:sz w:val="24"/>
                <w:szCs w:val="24"/>
                <w:lang w:val="kk-KZ"/>
              </w:rPr>
              <w:t>қолы)</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(аты-жөні (бар болса),</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қолы)</w:t>
            </w:r>
          </w:p>
        </w:tc>
      </w:tr>
    </w:tbl>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23C4D" w:rsidRDefault="006D374A" w:rsidP="006D374A">
      <w:pPr>
        <w:widowControl w:val="0"/>
        <w:adjustRightInd w:val="0"/>
        <w:spacing w:line="240" w:lineRule="auto"/>
        <w:jc w:val="both"/>
        <w:rPr>
          <w:b/>
          <w:color w:val="000000"/>
          <w:sz w:val="28"/>
          <w:szCs w:val="28"/>
          <w:lang w:val="kk-KZ"/>
        </w:rPr>
      </w:pPr>
    </w:p>
    <w:p w:rsidR="006D374A" w:rsidRDefault="006D374A" w:rsidP="006D374A">
      <w:pPr>
        <w:tabs>
          <w:tab w:val="left" w:pos="284"/>
        </w:tabs>
        <w:spacing w:after="0" w:line="240" w:lineRule="auto"/>
        <w:ind w:firstLine="709"/>
        <w:contextualSpacing/>
        <w:jc w:val="right"/>
        <w:rPr>
          <w:rFonts w:cs="Arial"/>
          <w:i/>
          <w:color w:val="FF0000"/>
          <w:sz w:val="24"/>
          <w:szCs w:val="24"/>
          <w:lang w:val="kk-KZ"/>
        </w:rPr>
      </w:pPr>
    </w:p>
    <w:p w:rsidR="006D374A" w:rsidRPr="006D374A" w:rsidRDefault="006D374A">
      <w:pPr>
        <w:rPr>
          <w:lang w:val="kk-KZ"/>
        </w:rPr>
      </w:pPr>
    </w:p>
    <w:sectPr w:rsidR="006D374A" w:rsidRPr="006D3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0B"/>
    <w:rsid w:val="000E16D0"/>
    <w:rsid w:val="006D374A"/>
    <w:rsid w:val="006F1F2C"/>
    <w:rsid w:val="00A21E7B"/>
    <w:rsid w:val="00A2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23BB"/>
  <w15:chartTrackingRefBased/>
  <w15:docId w15:val="{0F2873B8-8735-4B8C-84E2-FB0583E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2C"/>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A2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6193</Words>
  <Characters>35304</Characters>
  <Application>Microsoft Office Word</Application>
  <DocSecurity>0</DocSecurity>
  <Lines>294</Lines>
  <Paragraphs>82</Paragraphs>
  <ScaleCrop>false</ScaleCrop>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Исмагулова Нагима Амантаевна</dc:creator>
  <cp:keywords/>
  <dc:description/>
  <cp:lastModifiedBy>Исмагулова Нагима Амантаевна</cp:lastModifiedBy>
  <cp:revision>4</cp:revision>
  <dcterms:created xsi:type="dcterms:W3CDTF">2024-11-22T10:59:00Z</dcterms:created>
  <dcterms:modified xsi:type="dcterms:W3CDTF">2024-11-26T06:25:00Z</dcterms:modified>
</cp:coreProperties>
</file>