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980B" w14:textId="39DC7E6D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«___»___________202</w:t>
      </w:r>
      <w:r w:rsidR="002A5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A248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p w14:paraId="0998740A" w14:textId="62634D0A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168F722B" w14:textId="77777777" w:rsidR="00453489" w:rsidRDefault="00453489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tbl>
      <w:tblPr>
        <w:tblStyle w:val="44"/>
        <w:tblW w:w="9350" w:type="dxa"/>
        <w:tblLook w:val="04A0" w:firstRow="1" w:lastRow="0" w:firstColumn="1" w:lastColumn="0" w:noHBand="0" w:noVBand="1"/>
      </w:tblPr>
      <w:tblGrid>
        <w:gridCol w:w="5240"/>
        <w:gridCol w:w="1559"/>
        <w:gridCol w:w="2551"/>
      </w:tblGrid>
      <w:tr w:rsidR="007620AC" w:rsidRPr="007620AC" w14:paraId="66694336" w14:textId="77777777" w:rsidTr="007620AC">
        <w:tc>
          <w:tcPr>
            <w:tcW w:w="5240" w:type="dxa"/>
          </w:tcPr>
          <w:p w14:paraId="4669F125" w14:textId="77777777" w:rsidR="007620AC" w:rsidRPr="007620AC" w:rsidRDefault="007620AC" w:rsidP="00762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20AC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</w:tcPr>
          <w:p w14:paraId="6954EA30" w14:textId="77777777" w:rsidR="007620AC" w:rsidRPr="007620AC" w:rsidRDefault="007620AC" w:rsidP="007620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20AC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2551" w:type="dxa"/>
          </w:tcPr>
          <w:p w14:paraId="79A913CB" w14:textId="77777777" w:rsidR="007620AC" w:rsidRPr="007620AC" w:rsidRDefault="007620AC" w:rsidP="007620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20AC">
              <w:rPr>
                <w:b/>
                <w:sz w:val="24"/>
                <w:szCs w:val="24"/>
              </w:rPr>
              <w:t>Стоимость без НДС</w:t>
            </w:r>
          </w:p>
        </w:tc>
      </w:tr>
      <w:tr w:rsidR="007620AC" w:rsidRPr="007620AC" w14:paraId="4FEC70CC" w14:textId="77777777" w:rsidTr="00172046">
        <w:tc>
          <w:tcPr>
            <w:tcW w:w="5240" w:type="dxa"/>
            <w:vAlign w:val="center"/>
          </w:tcPr>
          <w:p w14:paraId="018FE9B0" w14:textId="77777777" w:rsidR="007620AC" w:rsidRDefault="007620AC" w:rsidP="007620A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421B8">
              <w:rPr>
                <w:color w:val="000000"/>
                <w:sz w:val="24"/>
                <w:szCs w:val="24"/>
              </w:rPr>
              <w:t>Определение профиля притока</w:t>
            </w:r>
            <w:r>
              <w:rPr>
                <w:color w:val="000000"/>
                <w:sz w:val="24"/>
                <w:szCs w:val="24"/>
              </w:rPr>
              <w:t xml:space="preserve"> на одном режиме </w:t>
            </w:r>
          </w:p>
          <w:p w14:paraId="6F44612E" w14:textId="0904A5D6" w:rsidR="007620AC" w:rsidRPr="007620AC" w:rsidRDefault="007620AC" w:rsidP="007620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(4 скв. м.Алибекмолам, 32 скв. м.Кожасай)</w:t>
            </w:r>
          </w:p>
        </w:tc>
        <w:tc>
          <w:tcPr>
            <w:tcW w:w="1559" w:type="dxa"/>
            <w:vAlign w:val="center"/>
          </w:tcPr>
          <w:p w14:paraId="2D511780" w14:textId="218951DD" w:rsidR="007620AC" w:rsidRPr="007620AC" w:rsidRDefault="007620AC" w:rsidP="00762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14:paraId="1AFF51A9" w14:textId="0145A887" w:rsidR="007620AC" w:rsidRPr="007620AC" w:rsidRDefault="00E5246F" w:rsidP="007620AC">
            <w:pPr>
              <w:spacing w:after="0" w:line="240" w:lineRule="auto"/>
              <w:rPr>
                <w:sz w:val="24"/>
                <w:szCs w:val="24"/>
              </w:rPr>
            </w:pPr>
            <w:r w:rsidRPr="00E5246F">
              <w:rPr>
                <w:sz w:val="24"/>
                <w:szCs w:val="24"/>
              </w:rPr>
              <w:t xml:space="preserve">            97 413</w:t>
            </w:r>
            <w:r w:rsidR="0026668E">
              <w:rPr>
                <w:sz w:val="24"/>
                <w:szCs w:val="24"/>
              </w:rPr>
              <w:t> </w:t>
            </w:r>
            <w:r w:rsidRPr="00E5246F">
              <w:rPr>
                <w:sz w:val="24"/>
                <w:szCs w:val="24"/>
              </w:rPr>
              <w:t xml:space="preserve">840 </w:t>
            </w:r>
          </w:p>
        </w:tc>
      </w:tr>
      <w:tr w:rsidR="007620AC" w:rsidRPr="007620AC" w14:paraId="469B22A1" w14:textId="77777777" w:rsidTr="00172046">
        <w:tc>
          <w:tcPr>
            <w:tcW w:w="5240" w:type="dxa"/>
          </w:tcPr>
          <w:p w14:paraId="3CB028FD" w14:textId="6749ACC1" w:rsidR="007620AC" w:rsidRPr="007620AC" w:rsidRDefault="007620AC" w:rsidP="007620AC">
            <w:pPr>
              <w:spacing w:after="0" w:line="240" w:lineRule="auto"/>
              <w:rPr>
                <w:sz w:val="24"/>
                <w:szCs w:val="24"/>
              </w:rPr>
            </w:pPr>
            <w:r w:rsidRPr="007620AC">
              <w:rPr>
                <w:sz w:val="24"/>
                <w:szCs w:val="24"/>
              </w:rPr>
              <w:t>Определение профиля приемистости (9 скв. м.Алибекмола, 10 скв. м.Кожасай)</w:t>
            </w:r>
          </w:p>
        </w:tc>
        <w:tc>
          <w:tcPr>
            <w:tcW w:w="1559" w:type="dxa"/>
            <w:vAlign w:val="center"/>
          </w:tcPr>
          <w:p w14:paraId="4D213472" w14:textId="087D6EBB" w:rsidR="007620AC" w:rsidRPr="007620AC" w:rsidRDefault="007620AC" w:rsidP="00762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20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DE5DEA5" w14:textId="6A57F083" w:rsidR="007620AC" w:rsidRPr="007620AC" w:rsidRDefault="00E5246F" w:rsidP="007620AC">
            <w:pPr>
              <w:spacing w:after="0" w:line="240" w:lineRule="auto"/>
              <w:rPr>
                <w:sz w:val="24"/>
                <w:szCs w:val="24"/>
              </w:rPr>
            </w:pPr>
            <w:r w:rsidRPr="00E5246F">
              <w:rPr>
                <w:sz w:val="24"/>
                <w:szCs w:val="24"/>
              </w:rPr>
              <w:t xml:space="preserve">            44 035 920</w:t>
            </w:r>
            <w:r w:rsidR="00172046">
              <w:rPr>
                <w:sz w:val="24"/>
                <w:szCs w:val="24"/>
              </w:rPr>
              <w:t xml:space="preserve"> </w:t>
            </w:r>
          </w:p>
        </w:tc>
      </w:tr>
      <w:tr w:rsidR="007620AC" w:rsidRPr="007620AC" w14:paraId="64009112" w14:textId="77777777" w:rsidTr="00172046">
        <w:tc>
          <w:tcPr>
            <w:tcW w:w="5240" w:type="dxa"/>
          </w:tcPr>
          <w:p w14:paraId="3F79D75F" w14:textId="77777777" w:rsidR="007620AC" w:rsidRPr="007620AC" w:rsidRDefault="007620AC" w:rsidP="007620AC">
            <w:pPr>
              <w:spacing w:after="0" w:line="240" w:lineRule="auto"/>
              <w:rPr>
                <w:sz w:val="24"/>
                <w:szCs w:val="24"/>
              </w:rPr>
            </w:pPr>
            <w:r w:rsidRPr="007620AC">
              <w:rPr>
                <w:sz w:val="24"/>
                <w:szCs w:val="24"/>
              </w:rPr>
              <w:t>Определение технического состояния колонны и цементного камня через НКТ</w:t>
            </w:r>
          </w:p>
          <w:p w14:paraId="4897C2B1" w14:textId="40482EF4" w:rsidR="007620AC" w:rsidRPr="007620AC" w:rsidRDefault="007620AC" w:rsidP="007620AC">
            <w:pPr>
              <w:spacing w:after="0" w:line="240" w:lineRule="auto"/>
              <w:rPr>
                <w:sz w:val="24"/>
                <w:szCs w:val="24"/>
              </w:rPr>
            </w:pPr>
            <w:r w:rsidRPr="007620AC">
              <w:rPr>
                <w:sz w:val="24"/>
                <w:szCs w:val="24"/>
              </w:rPr>
              <w:t>5 скв. м.Алибекмолам, 10 скв. м.Кожасай)</w:t>
            </w:r>
          </w:p>
        </w:tc>
        <w:tc>
          <w:tcPr>
            <w:tcW w:w="1559" w:type="dxa"/>
            <w:vAlign w:val="center"/>
          </w:tcPr>
          <w:p w14:paraId="0114CDDB" w14:textId="65F509BD" w:rsidR="007620AC" w:rsidRPr="007620AC" w:rsidRDefault="007620AC" w:rsidP="00762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14:paraId="1629FDF6" w14:textId="0B649140" w:rsidR="007620AC" w:rsidRPr="007620AC" w:rsidRDefault="00E5246F" w:rsidP="00E52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46F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> </w:t>
            </w:r>
            <w:r w:rsidRPr="00E5246F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E5246F">
              <w:rPr>
                <w:sz w:val="24"/>
                <w:szCs w:val="24"/>
              </w:rPr>
              <w:t>000</w:t>
            </w:r>
          </w:p>
        </w:tc>
      </w:tr>
      <w:tr w:rsidR="007620AC" w:rsidRPr="007620AC" w14:paraId="6182A9A1" w14:textId="77777777" w:rsidTr="00631513">
        <w:trPr>
          <w:trHeight w:val="665"/>
        </w:trPr>
        <w:tc>
          <w:tcPr>
            <w:tcW w:w="5240" w:type="dxa"/>
            <w:vAlign w:val="center"/>
          </w:tcPr>
          <w:p w14:paraId="2399F2C5" w14:textId="77777777" w:rsidR="007620AC" w:rsidRPr="007620AC" w:rsidRDefault="007620AC" w:rsidP="00762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20AC">
              <w:rPr>
                <w:b/>
                <w:bCs/>
                <w:color w:val="000000"/>
                <w:sz w:val="24"/>
                <w:szCs w:val="24"/>
              </w:rPr>
              <w:t>Общая стоимость работ</w:t>
            </w:r>
          </w:p>
        </w:tc>
        <w:tc>
          <w:tcPr>
            <w:tcW w:w="1559" w:type="dxa"/>
            <w:vAlign w:val="center"/>
          </w:tcPr>
          <w:p w14:paraId="64033626" w14:textId="10C64F63" w:rsidR="007620AC" w:rsidRPr="007620AC" w:rsidRDefault="007620AC" w:rsidP="007620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14:paraId="6A412DB0" w14:textId="0FE669E3" w:rsidR="007620AC" w:rsidRPr="007620AC" w:rsidRDefault="00631513" w:rsidP="00631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1513">
              <w:rPr>
                <w:b/>
                <w:sz w:val="24"/>
                <w:szCs w:val="24"/>
              </w:rPr>
              <w:t>348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1513">
              <w:rPr>
                <w:b/>
                <w:sz w:val="24"/>
                <w:szCs w:val="24"/>
              </w:rPr>
              <w:t>017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1513">
              <w:rPr>
                <w:b/>
                <w:sz w:val="24"/>
                <w:szCs w:val="24"/>
              </w:rPr>
              <w:t>760</w:t>
            </w:r>
          </w:p>
        </w:tc>
      </w:tr>
    </w:tbl>
    <w:p w14:paraId="4569D43E" w14:textId="5DB89F6A" w:rsidR="0099653E" w:rsidRDefault="007620AC" w:rsidP="00996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D361E7" w14:textId="77777777" w:rsidR="00943820" w:rsidRDefault="00943820" w:rsidP="009813D7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00131CD" w14:textId="77777777" w:rsidTr="002A577B">
        <w:tc>
          <w:tcPr>
            <w:tcW w:w="4962" w:type="dxa"/>
          </w:tcPr>
          <w:p w14:paraId="0E280ADF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801391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3135D3D2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0BEBB6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95EAFC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08B7A6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1E4ACD3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CC6CC7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519F5C81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ACA83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1FBD25C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65F5C86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52544F2E" w14:textId="036D459E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12147613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60268C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7B7FA1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DDC005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05833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A88842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2422FC6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2F787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2DA6F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A6BA9A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59180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7FCB2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4586AB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F67CE3D" w14:textId="1EC245EF" w:rsidR="002A577B" w:rsidRDefault="002A577B" w:rsidP="007F7A4C">
      <w:pPr>
        <w:pStyle w:val="7"/>
        <w:numPr>
          <w:ilvl w:val="0"/>
          <w:numId w:val="0"/>
        </w:numPr>
        <w:rPr>
          <w:b/>
          <w:bCs/>
        </w:rPr>
      </w:pPr>
      <w:bookmarkStart w:id="1" w:name="_Hlk135034178"/>
      <w:bookmarkEnd w:id="0"/>
    </w:p>
    <w:p w14:paraId="1E0198E6" w14:textId="3CB2564D" w:rsidR="00E007EE" w:rsidRDefault="00E007EE" w:rsidP="00E007EE">
      <w:pPr>
        <w:rPr>
          <w:lang w:eastAsia="ru-RU"/>
        </w:rPr>
      </w:pPr>
    </w:p>
    <w:p w14:paraId="09096F0E" w14:textId="480B0093" w:rsidR="00E007EE" w:rsidRPr="00E007EE" w:rsidRDefault="00E007EE" w:rsidP="00E007EE">
      <w:pPr>
        <w:rPr>
          <w:lang w:eastAsia="ru-RU"/>
        </w:rPr>
      </w:pPr>
    </w:p>
    <w:p w14:paraId="28E081DB" w14:textId="5A9EF69D" w:rsidR="007F7A4C" w:rsidRPr="007F7A4C" w:rsidRDefault="007F7A4C" w:rsidP="007F7A4C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«___»___________202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7D704F39" w14:textId="6522FF49" w:rsidR="00C85696" w:rsidRPr="007F7A4C" w:rsidRDefault="00C85696" w:rsidP="007F7A4C">
      <w:pPr>
        <w:rPr>
          <w:sz w:val="24"/>
          <w:szCs w:val="24"/>
          <w:lang w:eastAsia="ru-RU"/>
        </w:rPr>
      </w:pPr>
      <w:bookmarkStart w:id="2" w:name="_GoBack"/>
      <w:bookmarkEnd w:id="1"/>
      <w:bookmarkEnd w:id="2"/>
    </w:p>
    <w:p w14:paraId="032A0E62" w14:textId="7D8D28CA" w:rsidR="00453489" w:rsidRPr="00453489" w:rsidRDefault="007F7A4C" w:rsidP="0045348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7FAFD3C6" w14:textId="0B95B362" w:rsidR="00E007EE" w:rsidRDefault="00E007E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F6669" w14:textId="47ACC207" w:rsidR="00C85696" w:rsidRDefault="00C85696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9D961" w14:textId="10C741FB" w:rsidR="00C85696" w:rsidRPr="007F7A4C" w:rsidRDefault="00C85696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5395E" w14:textId="2EFB6A69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97"/>
        <w:gridCol w:w="1330"/>
        <w:gridCol w:w="2518"/>
      </w:tblGrid>
      <w:tr w:rsidR="00E007EE" w:rsidRPr="007F7A4C" w14:paraId="4A2D0132" w14:textId="77777777" w:rsidTr="0002015D">
        <w:trPr>
          <w:jc w:val="center"/>
        </w:trPr>
        <w:tc>
          <w:tcPr>
            <w:tcW w:w="5604" w:type="dxa"/>
            <w:vAlign w:val="center"/>
          </w:tcPr>
          <w:p w14:paraId="26A32620" w14:textId="77777777" w:rsidR="00E007EE" w:rsidRPr="007F7A4C" w:rsidRDefault="00E007EE" w:rsidP="0002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работ/услуг</w:t>
            </w:r>
          </w:p>
        </w:tc>
        <w:tc>
          <w:tcPr>
            <w:tcW w:w="1342" w:type="dxa"/>
            <w:vAlign w:val="center"/>
          </w:tcPr>
          <w:p w14:paraId="5BFA6EBE" w14:textId="2D43C15D" w:rsidR="00E007EE" w:rsidRPr="007F7A4C" w:rsidRDefault="0026668E" w:rsidP="0002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2552" w:type="dxa"/>
            <w:vAlign w:val="center"/>
          </w:tcPr>
          <w:p w14:paraId="3177560D" w14:textId="77777777" w:rsidR="00E007EE" w:rsidRPr="007F7A4C" w:rsidRDefault="00E007EE" w:rsidP="00E52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оказания услуг</w:t>
            </w:r>
          </w:p>
        </w:tc>
      </w:tr>
      <w:tr w:rsidR="0026668E" w:rsidRPr="007F7A4C" w14:paraId="2BD0B523" w14:textId="77777777" w:rsidTr="0002015D">
        <w:trPr>
          <w:trHeight w:val="627"/>
          <w:jc w:val="center"/>
        </w:trPr>
        <w:tc>
          <w:tcPr>
            <w:tcW w:w="5604" w:type="dxa"/>
            <w:vAlign w:val="center"/>
          </w:tcPr>
          <w:p w14:paraId="2304C1F2" w14:textId="77777777" w:rsidR="0026668E" w:rsidRPr="0026668E" w:rsidRDefault="0026668E" w:rsidP="00266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профиля притока на одном режиме </w:t>
            </w:r>
          </w:p>
          <w:p w14:paraId="3B93B827" w14:textId="28353BB1" w:rsidR="0002015D" w:rsidRPr="0026668E" w:rsidRDefault="0026668E" w:rsidP="00020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скв. м.Алибекмолам, 32 скв. м.Кожасай)</w:t>
            </w:r>
          </w:p>
        </w:tc>
        <w:tc>
          <w:tcPr>
            <w:tcW w:w="1342" w:type="dxa"/>
            <w:vAlign w:val="center"/>
          </w:tcPr>
          <w:p w14:paraId="2D0C739B" w14:textId="35277EFF" w:rsidR="0026668E" w:rsidRPr="0026668E" w:rsidRDefault="0026668E" w:rsidP="0026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14:paraId="51BBC711" w14:textId="77777777" w:rsidR="0026668E" w:rsidRPr="007F7A4C" w:rsidRDefault="0026668E" w:rsidP="0026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</w:tr>
      <w:tr w:rsidR="0026668E" w:rsidRPr="007F7A4C" w14:paraId="3A9C39E4" w14:textId="77777777" w:rsidTr="0002015D">
        <w:trPr>
          <w:jc w:val="center"/>
        </w:trPr>
        <w:tc>
          <w:tcPr>
            <w:tcW w:w="5604" w:type="dxa"/>
            <w:vAlign w:val="center"/>
          </w:tcPr>
          <w:p w14:paraId="3A837203" w14:textId="45BBB8F8" w:rsidR="0026668E" w:rsidRPr="0026668E" w:rsidRDefault="0026668E" w:rsidP="00266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профиля приемистости (9 скв. м.Алибекмола, 10 скв. м.Кожасай)</w:t>
            </w:r>
          </w:p>
        </w:tc>
        <w:tc>
          <w:tcPr>
            <w:tcW w:w="1342" w:type="dxa"/>
            <w:vAlign w:val="center"/>
          </w:tcPr>
          <w:p w14:paraId="5FB9AA7D" w14:textId="473FBD26" w:rsidR="0026668E" w:rsidRPr="0026668E" w:rsidRDefault="0026668E" w:rsidP="0026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14:paraId="70CE6F99" w14:textId="75515227" w:rsidR="0026668E" w:rsidRDefault="0002015D" w:rsidP="0026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5D"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</w:tr>
      <w:tr w:rsidR="0026668E" w:rsidRPr="007F7A4C" w14:paraId="725BE748" w14:textId="77777777" w:rsidTr="0002015D">
        <w:trPr>
          <w:jc w:val="center"/>
        </w:trPr>
        <w:tc>
          <w:tcPr>
            <w:tcW w:w="5604" w:type="dxa"/>
            <w:vAlign w:val="center"/>
          </w:tcPr>
          <w:p w14:paraId="4DB3CD2C" w14:textId="77777777" w:rsidR="0026668E" w:rsidRPr="0026668E" w:rsidRDefault="0026668E" w:rsidP="00266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технического состояния колонны и цементного камня через НКТ</w:t>
            </w:r>
          </w:p>
          <w:p w14:paraId="26CE7C1E" w14:textId="05D2EAFA" w:rsidR="0026668E" w:rsidRPr="0026668E" w:rsidRDefault="0026668E" w:rsidP="00020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скв. м.Алибекмолам, 10 скв. м.Кожасай)</w:t>
            </w:r>
          </w:p>
        </w:tc>
        <w:tc>
          <w:tcPr>
            <w:tcW w:w="1342" w:type="dxa"/>
            <w:vAlign w:val="center"/>
          </w:tcPr>
          <w:p w14:paraId="5A7C6569" w14:textId="734843B4" w:rsidR="0026668E" w:rsidRPr="0026668E" w:rsidRDefault="0026668E" w:rsidP="0026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714B572A" w14:textId="33AC768C" w:rsidR="0026668E" w:rsidRDefault="0002015D" w:rsidP="0026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5D"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</w:tr>
    </w:tbl>
    <w:p w14:paraId="4D7142CF" w14:textId="0D1CD538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8CE7" w14:textId="16263F4E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4E74" w14:textId="34699E0B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0E708" w14:textId="190C1259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E25" w14:textId="5447EC06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68250" w14:textId="543212A0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5C9E" w14:textId="6F4AE0BA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C3CC7" w14:textId="3F29DBDF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4D01B" w14:textId="22E2DB16" w:rsidR="00E007EE" w:rsidRDefault="00E007E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BA551" w14:textId="5E9E7D64" w:rsidR="00E007EE" w:rsidRDefault="00E007E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42194" w14:textId="167249A3" w:rsidR="008B2611" w:rsidRPr="007F7A4C" w:rsidRDefault="008B2611" w:rsidP="0045348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976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E1A5521" w14:textId="77777777" w:rsidTr="00E5246F">
        <w:tc>
          <w:tcPr>
            <w:tcW w:w="4962" w:type="dxa"/>
          </w:tcPr>
          <w:p w14:paraId="7DF33404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8013956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61F6B4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6432E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50292B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5EC3C13C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6D9089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F2A807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3C8FFEC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2DB0B7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22E164E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BE9A919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40F40703" w14:textId="0E08E520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064AA33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8643D5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92DE1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55F194E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C5AB65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118B0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10906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9814E2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9F5288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2DFFA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EB47D4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36289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C0EE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260854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3"/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9937CF8" w14:textId="5D4C4223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FF305DD" w14:textId="3934CF6B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68D05219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«___»___________202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E5246F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Технической  спецификации</w:t>
      </w:r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     Примерный перечень штрафных санкций за нарушения в области ОТ, ПБ  и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ООС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E5246F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E5246F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E5246F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lastRenderedPageBreak/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E5246F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E5246F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E5246F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E5246F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E5246F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E5246F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E5246F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E5246F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E5246F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E5246F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E5246F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FF30E9" w:rsidRPr="00FF30E9" w14:paraId="2F4E6332" w14:textId="77777777" w:rsidTr="00E5246F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E5246F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настоящем Положении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E5246F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«Самрук-Қазына»</w:t>
            </w:r>
          </w:p>
        </w:tc>
      </w:tr>
      <w:tr w:rsidR="00FF30E9" w:rsidRPr="00FF30E9" w14:paraId="788FFBF8" w14:textId="77777777" w:rsidTr="00E5246F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E5246F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E5246F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E5246F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E5246F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E5246F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E5246F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Договор подряда, заключенный между Компанией и Подрядчиком (Поставщиком), направленный на приобретение в установленном порядке  ТРУ</w:t>
            </w:r>
          </w:p>
        </w:tc>
      </w:tr>
      <w:tr w:rsidR="00FF30E9" w:rsidRPr="00FF30E9" w14:paraId="20FE2B65" w14:textId="77777777" w:rsidTr="00E5246F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E5246F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E5246F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предвквалификацию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 Подрядчиков в соответствии со Стандартом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E5246F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E5246F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E5246F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E5246F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E5246F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E5246F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E5246F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E5246F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E5246F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FF30E9" w:rsidRPr="00FF30E9" w14:paraId="32B63B13" w14:textId="77777777" w:rsidTr="00E5246F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E5246F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FF30E9" w:rsidRPr="00FF30E9" w14:paraId="29A65159" w14:textId="77777777" w:rsidTr="00E5246F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</w:p>
        </w:tc>
      </w:tr>
      <w:tr w:rsidR="00FF30E9" w:rsidRPr="00FF30E9" w14:paraId="2EC088A9" w14:textId="77777777" w:rsidTr="00E5246F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E5246F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Любой(ые) работник(и) Подрядной (Субподрядной) организации, осуществляющий(е) проведение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E5246F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E5246F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E5246F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E5246F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E5246F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E5246F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E5246F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E5246F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E5246F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4.3. Предквалификация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Предквалификация Потенциальных Подрядчиков по ТРУ критичных в области ОТ, ПБ и ООС регламентируется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Порядком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ООС связанные с выполнением работ/оказанием услуг, а также меры, которые необходимо принять для решения этих вопросов до того, как Подрядчик и (или)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ООС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Соблюдать политики Заказчика в области ОТ, ПБ и ООС, базовые принципы Жизненно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E5246F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E5246F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234272E" w14:textId="77777777" w:rsidTr="00C55365">
        <w:tc>
          <w:tcPr>
            <w:tcW w:w="4704" w:type="dxa"/>
          </w:tcPr>
          <w:p w14:paraId="69536B4C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0483660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5ACC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F6BE85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39BD08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3E8E34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8632D1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4FC5F4E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51B73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71EF46C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037BDD66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41E94B1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DF1FA82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7242891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3506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A3E0C0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608AF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C0E96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C7A2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BA1F54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4B127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0F19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4949F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A6DFF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EB0E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89C4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2A57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0F3DC31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F725E89" w14:textId="71A1A068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093B289" w14:textId="1D351C3F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8954A3" w14:textId="4480AA16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09E2AA" w14:textId="714950F9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449A9" w14:textId="337A8CC5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F773A21" w14:textId="1BFDF8A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38F176" w14:textId="7777777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E5246F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E5246F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E5246F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E5246F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E5246F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E5246F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E5246F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E5246F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E5246F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E5246F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E5246F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E5246F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E5246F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E5246F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ООС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E5246F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E5246F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них  необходимых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материалы 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E5246F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E5246F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E5246F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E524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E5246F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E5246F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E5246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E5246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E5246F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E5246F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отсутствие письменного сообщения о проведенных мероприятиях в рамках выписанных указаний, актов проверок КОА и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E5246F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E5246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договора на прохождение предсменного медицинского осмотра для работников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lastRenderedPageBreak/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E5246F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E5246F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047CC51" w14:textId="77777777" w:rsidTr="00C55365">
        <w:tc>
          <w:tcPr>
            <w:tcW w:w="4704" w:type="dxa"/>
          </w:tcPr>
          <w:p w14:paraId="07770F55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D93F30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DEB0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2DB18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D011EA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F00C7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BDF33E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3CD6E3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ED58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1E73C46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A436648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66B7CC7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342B07A8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1D1947D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3A8529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013323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7A23E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7C0FA9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593A7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72473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7646C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8724F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A16F7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3F20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C3F05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E7237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E5246F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E5246F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E5246F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E5246F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E5246F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E5246F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E5246F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E5246F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E5246F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E5246F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E5246F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использование Подрядчиком СИЗ согласно норм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E5246F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E5246F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E5246F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E5246F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E5246F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E5246F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E5246F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E5246F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E5246F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E5246F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E5246F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E5246F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E5246F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E5246F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E5246F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E5246F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E5246F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E5246F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E5246F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E5246F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E5246F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E5246F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E5246F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E5246F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E5246F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легкие),  умноженное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E524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E5246F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E5246F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E5246F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E5246F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E5246F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E5246F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E5246F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E5246F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738EBC03" w14:textId="77777777" w:rsidTr="00C55365">
        <w:tc>
          <w:tcPr>
            <w:tcW w:w="4704" w:type="dxa"/>
          </w:tcPr>
          <w:p w14:paraId="5C7BC61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136ABE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11F7BF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95A00FA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7CE43F3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5B597EB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35E824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2BB9A5A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15D8A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3D2573B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60D4B5F4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5B552B4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D693FBE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9BF41C6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B3C8B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65E84D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31A74C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00011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036AB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64909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90AF58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79F0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0351B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B61F03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48F3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A7C7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4CC34715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«___»___________2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2A57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220102"/>
            <w:bookmarkStart w:id="5" w:name="SUB280101"/>
            <w:bookmarkStart w:id="6" w:name="SUB280102"/>
            <w:bookmarkStart w:id="7" w:name="SUB280103"/>
            <w:bookmarkStart w:id="8" w:name="SUB280104"/>
            <w:bookmarkStart w:id="9" w:name="SUB280105"/>
            <w:bookmarkStart w:id="10" w:name="SUB280106"/>
            <w:bookmarkStart w:id="11" w:name="SUB280107"/>
            <w:bookmarkStart w:id="12" w:name="SUB280108"/>
            <w:bookmarkStart w:id="13" w:name="SUB280109"/>
            <w:bookmarkStart w:id="14" w:name="SUB280110"/>
            <w:bookmarkStart w:id="15" w:name="SUB280111"/>
            <w:bookmarkStart w:id="16" w:name="SUB280112"/>
            <w:bookmarkStart w:id="17" w:name="SUB280113"/>
            <w:bookmarkStart w:id="18" w:name="SUB710100"/>
            <w:bookmarkStart w:id="19" w:name="SUB710300"/>
            <w:bookmarkStart w:id="20" w:name="SUB710400"/>
            <w:bookmarkStart w:id="21" w:name="SUB710500"/>
            <w:bookmarkStart w:id="22" w:name="SUB710600"/>
            <w:bookmarkStart w:id="23" w:name="SUB730100"/>
            <w:bookmarkStart w:id="24" w:name="SUB730200"/>
            <w:bookmarkStart w:id="25" w:name="SUB730300"/>
            <w:bookmarkStart w:id="26" w:name="SUB730400"/>
            <w:bookmarkStart w:id="27" w:name="SUB760100"/>
            <w:bookmarkStart w:id="28" w:name="SUB760200"/>
            <w:bookmarkStart w:id="29" w:name="SUB760401"/>
            <w:bookmarkStart w:id="30" w:name="SUB760402"/>
            <w:bookmarkStart w:id="31" w:name="SUB770100"/>
            <w:bookmarkStart w:id="32" w:name="SUB780100"/>
            <w:bookmarkStart w:id="33" w:name="SUB780200"/>
            <w:bookmarkStart w:id="34" w:name="SUB780300"/>
            <w:bookmarkStart w:id="35" w:name="SUB1020001"/>
            <w:bookmarkStart w:id="36" w:name="SUB1020003"/>
            <w:bookmarkStart w:id="37" w:name="SUB1020004"/>
            <w:bookmarkStart w:id="38" w:name="SUB1020005"/>
            <w:bookmarkStart w:id="39" w:name="SUB1020006"/>
            <w:bookmarkStart w:id="40" w:name="SUB1020007"/>
            <w:bookmarkStart w:id="41" w:name="SUB1130100"/>
            <w:bookmarkStart w:id="42" w:name="SUB1130300"/>
            <w:bookmarkStart w:id="43" w:name="SUB1130400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4" w:name="SUB220119"/>
            <w:bookmarkEnd w:id="44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525"/>
              <w:gridCol w:w="531"/>
              <w:gridCol w:w="654"/>
              <w:gridCol w:w="2885"/>
            </w:tblGrid>
            <w:tr w:rsidR="005D3E1A" w14:paraId="73953B90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 w:rsidTr="00C55365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рабочего времени соответствует нормам,  установленным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бесперебойной и безаварийной работы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 w:rsidTr="00C55365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 w:rsidTr="00C55365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 w:rsidTr="00C55365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C55365" w14:paraId="12D6A3FA" w14:textId="77777777" w:rsidTr="00C55365">
              <w:tc>
                <w:tcPr>
                  <w:tcW w:w="4704" w:type="dxa"/>
                </w:tcPr>
                <w:p w14:paraId="72FC58BC" w14:textId="4D86A83B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55E5072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4E4F46F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Заместитель генерального </w:t>
                  </w:r>
                </w:p>
                <w:p w14:paraId="5261701B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директора по геологии и разработке</w:t>
                  </w:r>
                </w:p>
                <w:p w14:paraId="7F168C8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1F1922C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Пангереева Ш.С.</w:t>
                  </w:r>
                </w:p>
                <w:p w14:paraId="2257238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3FB9F1C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И.о. Заместителя генерального директора по геологии и разработке</w:t>
                  </w:r>
                </w:p>
                <w:p w14:paraId="6713A2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77428518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Ван Цзяньнин (Wang Jianning)</w:t>
                  </w:r>
                </w:p>
                <w:p w14:paraId="4DF8F29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4651" w:type="dxa"/>
                </w:tcPr>
                <w:p w14:paraId="6DF64E5B" w14:textId="41F0B394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1D28EEA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4657237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7F7DCE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AE15F0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3069D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FC9A6B0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60C7CC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81B21FA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63F3453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6B24CAF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1348DE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83560F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5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79B0" w14:textId="77777777" w:rsidR="00E5246F" w:rsidRDefault="00E5246F" w:rsidP="00FF30E9">
      <w:pPr>
        <w:spacing w:after="0" w:line="240" w:lineRule="auto"/>
      </w:pPr>
      <w:r>
        <w:separator/>
      </w:r>
    </w:p>
  </w:endnote>
  <w:endnote w:type="continuationSeparator" w:id="0">
    <w:p w14:paraId="25F47D42" w14:textId="77777777" w:rsidR="00E5246F" w:rsidRDefault="00E5246F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016286"/>
      <w:docPartObj>
        <w:docPartGallery w:val="Page Numbers (Bottom of Page)"/>
        <w:docPartUnique/>
      </w:docPartObj>
    </w:sdtPr>
    <w:sdtEndPr/>
    <w:sdtContent>
      <w:p w14:paraId="11F45AE8" w14:textId="7485C253" w:rsidR="00E5246F" w:rsidRDefault="00E5246F">
        <w:pPr>
          <w:pStyle w:val="ad"/>
          <w:jc w:val="center"/>
        </w:pPr>
        <w:r w:rsidRPr="005637C9">
          <w:rPr>
            <w:sz w:val="22"/>
            <w:szCs w:val="22"/>
          </w:rPr>
          <w:t xml:space="preserve">Стр. </w:t>
        </w:r>
        <w:r w:rsidRPr="005637C9">
          <w:rPr>
            <w:sz w:val="22"/>
            <w:szCs w:val="22"/>
          </w:rPr>
          <w:fldChar w:fldCharType="begin"/>
        </w:r>
        <w:r w:rsidRPr="005637C9">
          <w:rPr>
            <w:sz w:val="22"/>
            <w:szCs w:val="22"/>
          </w:rPr>
          <w:instrText>PAGE   \* MERGEFORMAT</w:instrText>
        </w:r>
        <w:r w:rsidRPr="005637C9">
          <w:rPr>
            <w:sz w:val="22"/>
            <w:szCs w:val="22"/>
          </w:rPr>
          <w:fldChar w:fldCharType="separate"/>
        </w:r>
        <w:r w:rsidR="00C85696">
          <w:rPr>
            <w:noProof/>
            <w:sz w:val="22"/>
            <w:szCs w:val="22"/>
          </w:rPr>
          <w:t>4</w:t>
        </w:r>
        <w:r w:rsidRPr="005637C9">
          <w:rPr>
            <w:sz w:val="22"/>
            <w:szCs w:val="22"/>
          </w:rPr>
          <w:fldChar w:fldCharType="end"/>
        </w:r>
        <w:r w:rsidRPr="005637C9">
          <w:rPr>
            <w:sz w:val="22"/>
            <w:szCs w:val="22"/>
          </w:rPr>
          <w:t xml:space="preserve"> из 54</w:t>
        </w:r>
      </w:p>
    </w:sdtContent>
  </w:sdt>
  <w:p w14:paraId="3F9F23D2" w14:textId="77777777" w:rsidR="00E5246F" w:rsidRDefault="00E524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FB22" w14:textId="77777777" w:rsidR="00E5246F" w:rsidRDefault="00E5246F" w:rsidP="00FF30E9">
      <w:pPr>
        <w:spacing w:after="0" w:line="240" w:lineRule="auto"/>
      </w:pPr>
      <w:r>
        <w:separator/>
      </w:r>
    </w:p>
  </w:footnote>
  <w:footnote w:type="continuationSeparator" w:id="0">
    <w:p w14:paraId="4910016F" w14:textId="77777777" w:rsidR="00E5246F" w:rsidRDefault="00E5246F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E5246F" w:rsidRDefault="00E5246F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E5246F" w:rsidRPr="00320331" w:rsidRDefault="00E5246F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E5246F" w:rsidRDefault="00E5246F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5"/>
    <w:rsid w:val="000177F4"/>
    <w:rsid w:val="0002015D"/>
    <w:rsid w:val="00112C89"/>
    <w:rsid w:val="00112E7F"/>
    <w:rsid w:val="00121B8C"/>
    <w:rsid w:val="00130459"/>
    <w:rsid w:val="00172046"/>
    <w:rsid w:val="00230AEE"/>
    <w:rsid w:val="0026668E"/>
    <w:rsid w:val="002A577B"/>
    <w:rsid w:val="002E0330"/>
    <w:rsid w:val="003F11B1"/>
    <w:rsid w:val="0040347A"/>
    <w:rsid w:val="00424B82"/>
    <w:rsid w:val="00453489"/>
    <w:rsid w:val="00476659"/>
    <w:rsid w:val="004E764F"/>
    <w:rsid w:val="005343E4"/>
    <w:rsid w:val="005637C9"/>
    <w:rsid w:val="005D0741"/>
    <w:rsid w:val="005D3E1A"/>
    <w:rsid w:val="00631513"/>
    <w:rsid w:val="00653369"/>
    <w:rsid w:val="007620AC"/>
    <w:rsid w:val="007E5841"/>
    <w:rsid w:val="007F7A4C"/>
    <w:rsid w:val="008B2611"/>
    <w:rsid w:val="00910B70"/>
    <w:rsid w:val="00943820"/>
    <w:rsid w:val="009813D7"/>
    <w:rsid w:val="0099653E"/>
    <w:rsid w:val="00AC6F33"/>
    <w:rsid w:val="00AD2287"/>
    <w:rsid w:val="00B31E48"/>
    <w:rsid w:val="00BA5805"/>
    <w:rsid w:val="00BF669C"/>
    <w:rsid w:val="00C55365"/>
    <w:rsid w:val="00C85696"/>
    <w:rsid w:val="00D35157"/>
    <w:rsid w:val="00E007EE"/>
    <w:rsid w:val="00E36511"/>
    <w:rsid w:val="00E5246F"/>
    <w:rsid w:val="00FD7755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37">
    <w:name w:val="Сетка таблицы3"/>
    <w:basedOn w:val="a1"/>
    <w:next w:val="a3"/>
    <w:uiPriority w:val="39"/>
    <w:rsid w:val="0076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3"/>
    <w:uiPriority w:val="39"/>
    <w:rsid w:val="0076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54</Pages>
  <Words>19343</Words>
  <Characters>110256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Kabdulova Laura</cp:lastModifiedBy>
  <cp:revision>15</cp:revision>
  <dcterms:created xsi:type="dcterms:W3CDTF">2024-10-21T12:13:00Z</dcterms:created>
  <dcterms:modified xsi:type="dcterms:W3CDTF">2024-10-22T06:33:00Z</dcterms:modified>
</cp:coreProperties>
</file>