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04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ж. </w:t>
      </w:r>
      <w:r w:rsidR="00153604" w:rsidRPr="00790697">
        <w:rPr>
          <w:rFonts w:ascii="Times New Roman" w:hAnsi="Times New Roman" w:cs="Times New Roman"/>
          <w:b/>
          <w:sz w:val="26"/>
          <w:szCs w:val="26"/>
        </w:rPr>
        <w:t>№_____________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шарттың</w:t>
      </w:r>
    </w:p>
    <w:p w:rsidR="00790697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№</w:t>
      </w:r>
      <w:r w:rsidR="002E1348">
        <w:rPr>
          <w:rFonts w:ascii="Times New Roman" w:hAnsi="Times New Roman" w:cs="Times New Roman"/>
          <w:b/>
          <w:sz w:val="26"/>
          <w:szCs w:val="26"/>
          <w:lang w:val="en-US"/>
        </w:rPr>
        <w:t xml:space="preserve">5 </w:t>
      </w:r>
      <w:proofErr w:type="spellStart"/>
      <w:r w:rsidR="002E1348" w:rsidRPr="002E1348">
        <w:rPr>
          <w:rFonts w:ascii="Times New Roman" w:hAnsi="Times New Roman" w:cs="Times New Roman"/>
          <w:b/>
          <w:sz w:val="26"/>
          <w:szCs w:val="26"/>
          <w:lang w:val="en-US"/>
        </w:rPr>
        <w:t>қосымшаға</w:t>
      </w:r>
      <w:proofErr w:type="spellEnd"/>
      <w:r w:rsidR="002E1348" w:rsidRPr="002E134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2E1348">
        <w:rPr>
          <w:rFonts w:ascii="Times New Roman" w:hAnsi="Times New Roman" w:cs="Times New Roman"/>
          <w:b/>
          <w:sz w:val="26"/>
          <w:szCs w:val="26"/>
        </w:rPr>
        <w:t>№</w:t>
      </w:r>
      <w:r w:rsidR="002E1348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="002E134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қосымша</w:t>
      </w:r>
    </w:p>
    <w:p w:rsidR="00153604" w:rsidRPr="00153604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</w:p>
    <w:p w:rsidR="00153604" w:rsidRPr="00153604" w:rsidRDefault="00633290" w:rsidP="00790697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Орындаушының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арттың жекелеген талаптарын және (немесе) өнеркәсіптік және өрт қауіпсіздігі, еңбекті және қоршаған ортаны қорғау бөлігіндегі талаптарды бұзғаны үшін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салынатын 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>айыппұлдардың мөлшері.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RPr="002E1348" w:rsidTr="00103638">
        <w:tc>
          <w:tcPr>
            <w:tcW w:w="14732" w:type="dxa"/>
            <w:gridSpan w:val="5"/>
          </w:tcPr>
          <w:p w:rsidR="00790697" w:rsidRPr="00EA7F25" w:rsidRDefault="00153604" w:rsidP="00153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7F25">
              <w:rPr>
                <w:rFonts w:ascii="Times New Roman" w:hAnsi="Times New Roman" w:cs="Times New Roman"/>
                <w:b/>
                <w:lang w:val="kk-KZ"/>
              </w:rPr>
              <w:t>Түрлер</w:t>
            </w:r>
            <w:r>
              <w:rPr>
                <w:rFonts w:ascii="Times New Roman" w:hAnsi="Times New Roman" w:cs="Times New Roman"/>
                <w:b/>
                <w:lang w:val="kk-KZ"/>
              </w:rPr>
              <w:t>дің</w:t>
            </w:r>
            <w:r w:rsidRPr="00EA7F25">
              <w:rPr>
                <w:rFonts w:ascii="Times New Roman" w:hAnsi="Times New Roman" w:cs="Times New Roman"/>
                <w:b/>
                <w:lang w:val="kk-KZ"/>
              </w:rPr>
              <w:t xml:space="preserve"> санаттары бойынша әрбір бұзушылық жағдайы үшін айыппұл сомасы, АЕК-пен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790697" w:rsidRPr="002E1348" w:rsidTr="00DB3B99">
        <w:tc>
          <w:tcPr>
            <w:tcW w:w="3114" w:type="dxa"/>
          </w:tcPr>
          <w:p w:rsidR="00790697" w:rsidRPr="00153604" w:rsidRDefault="00DB3B99" w:rsidP="001536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B99">
              <w:rPr>
                <w:rFonts w:ascii="Times New Roman" w:hAnsi="Times New Roman" w:cs="Times New Roman"/>
                <w:color w:val="000000"/>
              </w:rPr>
              <w:t>«Алкоголь-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Есірткілер</w:t>
            </w:r>
            <w:r w:rsidRPr="00DB3B99">
              <w:rPr>
                <w:rFonts w:ascii="Times New Roman" w:hAnsi="Times New Roman" w:cs="Times New Roman"/>
                <w:color w:val="000000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санаты бойынша айыппұлдар</w:t>
            </w:r>
          </w:p>
        </w:tc>
        <w:tc>
          <w:tcPr>
            <w:tcW w:w="2778" w:type="dxa"/>
          </w:tcPr>
          <w:p w:rsidR="00790697" w:rsidRPr="00153604" w:rsidRDefault="00DB3B99" w:rsidP="00126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Қару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жарылғыш заттар және жарыл</w:t>
            </w:r>
            <w:r w:rsidR="001265EB">
              <w:rPr>
                <w:rFonts w:ascii="Times New Roman" w:hAnsi="Times New Roman" w:cs="Times New Roman"/>
                <w:color w:val="000000"/>
                <w:lang w:val="kk-KZ"/>
              </w:rPr>
              <w:t>ғыш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құрылғылар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санаттары бойынша айыппұлдар</w:t>
            </w:r>
          </w:p>
        </w:tc>
        <w:tc>
          <w:tcPr>
            <w:tcW w:w="2946" w:type="dxa"/>
          </w:tcPr>
          <w:p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65E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 w:rsidR="00811150" w:rsidRPr="00EA7F25">
              <w:rPr>
                <w:rFonts w:ascii="Times New Roman" w:hAnsi="Times New Roman" w:cs="Times New Roman"/>
                <w:color w:val="000000"/>
                <w:lang w:val="kk-KZ"/>
              </w:rPr>
              <w:t>апсырыс беруші белгілеген тұру/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болу тәртібін бұзу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>» санаты бойынша айыппұл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947" w:type="dxa"/>
          </w:tcPr>
          <w:p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 xml:space="preserve">Экологиялық заңнаманы бұзу» санаты бойынша айыппұл </w:t>
            </w:r>
          </w:p>
        </w:tc>
        <w:tc>
          <w:tcPr>
            <w:tcW w:w="2947" w:type="dxa"/>
          </w:tcPr>
          <w:p w:rsidR="00790697" w:rsidRPr="00EA7F25" w:rsidRDefault="00811150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Еңбек қауіпсіздігі және еңбекті қорғау, өнеркәсіптік және өрт қауіпсіздігі талаптарын сақтамау/басқа да бұзушылықтар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санаты бойынша айыппұл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790697" w:rsidTr="00DB3B99">
        <w:tc>
          <w:tcPr>
            <w:tcW w:w="3114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50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778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100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6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</w:tr>
    </w:tbl>
    <w:p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658" w:rsidRPr="00D71658" w:rsidRDefault="00811150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Осы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Қ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осымша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бұзушылық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түрлерінің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санаттарына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анықтамалар</w:t>
      </w:r>
      <w:proofErr w:type="spellEnd"/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</w:t>
      </w:r>
      <w:r w:rsidR="0081115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Есірткілер</w:t>
      </w: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811150" w:rsidRPr="001265EB" w:rsidRDefault="00811150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барлық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ішінде </w:t>
      </w:r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да,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тынығу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да)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кез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келген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алкогольдік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ішімдіктерді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есірткі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уытқұмарлық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құралдарды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психотроптық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сол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тектестерді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прекурсорларды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заңда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жағдайларда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қолдануға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тыйым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салынған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кіргізу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объектілерінде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болу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кезеңі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масаң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күйде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дайындау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тарату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тұтыну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талап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етуі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медициналық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куәландырудан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өтуден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бас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Pr="001265EB" w:rsidRDefault="001265EB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Қару, жарылғыш заттар және жарыл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ғыш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 xml:space="preserve"> құрылғылар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объектілері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қаруды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оқ-дәрілерді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құрылғыларды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әкелу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беру,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тасымалдау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алып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жүру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Pr="00EA7F25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Тапсырыс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беруші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белгілеген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тұру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/болу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тәртібін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бұзу</w:t>
      </w:r>
      <w:proofErr w:type="spellEnd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EA7F25" w:rsidRPr="00EA7F25" w:rsidRDefault="00D71658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түнгі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уақытта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тыныштықты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жатақханаларда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тұрмыстық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санитариялық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шаруашылық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ғимараттарда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құрылыстарда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тұру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/болу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т. б.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тәртіпсіздіктерді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ереуілдерді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санкцияланбаған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наразылық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акцияларын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ұйымдастыру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оларға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қатысу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мердігер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персоналының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жеке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тексеруге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EA7F25" w:rsidRDefault="00EA7F25" w:rsidP="00EA7F2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қоғамдық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түрлері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Экологиялық заңнаманы бұзу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Pr="00EA7F25" w:rsidRDefault="00EA7F2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М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ердігердің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шарт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экологиялық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заңнаманы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соққан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осындай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әрекеттерді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тиісінше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DB1615" w:rsidRPr="00EA7F2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  «</w:t>
      </w:r>
      <w:r w:rsidR="00EA7F25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Еңбек қауіпсіздігі және еңбекті қорғау, өнеркәсіптік және өрт қауіпсіздігі талаптарын сақтамау/басқа да бұзушылықтар»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мыналар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кезінде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ҚР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сәйкес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қорғау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өнеркәсіптік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Ш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арт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барысында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қаупінің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хабарламау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қауіптің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ақпарат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бермеу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7"/>
    <w:rsid w:val="001265EB"/>
    <w:rsid w:val="00134597"/>
    <w:rsid w:val="00153604"/>
    <w:rsid w:val="001B576D"/>
    <w:rsid w:val="002257B0"/>
    <w:rsid w:val="0026305C"/>
    <w:rsid w:val="002E1348"/>
    <w:rsid w:val="005571D3"/>
    <w:rsid w:val="006031E6"/>
    <w:rsid w:val="00633290"/>
    <w:rsid w:val="00790697"/>
    <w:rsid w:val="007E136B"/>
    <w:rsid w:val="00811150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A7F25"/>
    <w:rsid w:val="00F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A44E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Киякин Михаил Евгеньевич</cp:lastModifiedBy>
  <cp:revision>3</cp:revision>
  <cp:lastPrinted>2019-09-26T11:14:00Z</cp:lastPrinted>
  <dcterms:created xsi:type="dcterms:W3CDTF">2023-03-06T04:25:00Z</dcterms:created>
  <dcterms:modified xsi:type="dcterms:W3CDTF">2025-01-08T07:32:00Z</dcterms:modified>
</cp:coreProperties>
</file>