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220" w14:textId="77777777" w:rsidR="00097FBF" w:rsidRPr="00776093" w:rsidRDefault="00097FBF" w:rsidP="00097FBF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</w:t>
      </w:r>
      <w:proofErr w:type="gramStart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  от</w:t>
      </w:r>
      <w:proofErr w:type="gramEnd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«____»  ________ 202</w:t>
      </w:r>
      <w:r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2725D64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719AA55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54C6710B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097FBF" w:rsidRPr="00776093" w14:paraId="27441A96" w14:textId="77777777" w:rsidTr="00082473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BEB9C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78EDE3BC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946A37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5FB374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11834C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7510D6F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22149A6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B7429E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027742A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444D71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4FFB44D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758D26F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31D1F1C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F3F4A5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4A14BFC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190E2803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F21B216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AB9DC4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097FBF" w:rsidRPr="00776093" w14:paraId="7E0DEF86" w14:textId="77777777" w:rsidTr="00082473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BCA5F5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237B46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1155FF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1CEB69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27FD177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93B68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9CDE29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5A796469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4C47F35E" w14:textId="77777777" w:rsidTr="00082473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AAF0A5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DEEBA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02DC9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D5DAA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33442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C9E78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C406B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41E702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71DE9D31" w14:textId="77777777" w:rsidTr="0008247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504D76" w14:textId="77777777" w:rsidR="00097FBF" w:rsidRPr="00776093" w:rsidRDefault="00097FBF" w:rsidP="0008247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B8B2C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AF99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AEB31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1A34B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65B19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59D40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7EDE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97FBF" w:rsidRPr="00776093" w14:paraId="30BBA1D7" w14:textId="77777777" w:rsidTr="0008247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415EAF" w14:textId="77777777" w:rsidR="00097FBF" w:rsidRPr="00776093" w:rsidRDefault="00097FBF" w:rsidP="0008247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DA190B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FFA10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D23256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E1D326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6E44B4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4E7671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D112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293C8A27" w14:textId="77777777" w:rsidR="00097FBF" w:rsidRPr="00776093" w:rsidRDefault="00097FBF" w:rsidP="00097FBF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128CB3DE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3ADCF9E1" w14:textId="77777777" w:rsidR="00097FBF" w:rsidRPr="003D5EE2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 w:themeColor="text1"/>
          <w:kern w:val="0"/>
          <w:position w:val="-4"/>
          <w:sz w:val="20"/>
          <w:szCs w:val="20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6632F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.5pt;height:15pt" o:ole="">
            <v:imagedata r:id="rId5" o:title=""/>
          </v:shape>
          <o:OLEObject Type="Embed" ProgID="Equation.DSMT4" ShapeID="_x0000_i1029" DrawAspect="Content" ObjectID="_1804506086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219805" wp14:editId="65D1BE2C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4A6B095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075288A8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98D54" wp14:editId="642FA635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2419350" r="0" b="2433955"/>
                <wp:wrapNone/>
                <wp:docPr id="12312814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340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287E1" w14:textId="77777777" w:rsidR="00097FBF" w:rsidRPr="003D5EE2" w:rsidRDefault="00097FBF" w:rsidP="00097FBF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Заполняется 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98D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.85pt;width:2in;height:2in;rotation:-2519415fd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" filled="f" stroked="f">
                <v:textbox style="mso-fit-shape-to-text:t">
                  <w:txbxContent>
                    <w:p w14:paraId="1A3287E1" w14:textId="77777777" w:rsidR="00097FBF" w:rsidRPr="003D5EE2" w:rsidRDefault="00097FBF" w:rsidP="00097FBF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Заполняется 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0451490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3D6B93FE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63195A2D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5EA5678F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0A82B26B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530361B3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43C7FE06" w14:textId="77777777" w:rsidR="00097FBF" w:rsidRPr="00776093" w:rsidRDefault="00097FBF" w:rsidP="00097FBF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A68F888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proofErr w:type="gram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</w:t>
      </w:r>
      <w:proofErr w:type="gram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___________</w:t>
      </w:r>
    </w:p>
    <w:p w14:paraId="581356C4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78F4837A" w14:textId="77777777" w:rsidR="00097FBF" w:rsidRPr="00776093" w:rsidRDefault="00097FBF" w:rsidP="00097FBF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5764DD33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5386CD5C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75812879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76FA92EE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5E3A0BC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89A11E9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9ADC14F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9DDA6E0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757BB8A" w14:textId="77777777" w:rsidR="00097FBF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4BC260A5" w14:textId="77777777" w:rsidR="00097FBF" w:rsidRPr="003D5EE2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0"/>
          <w:u w:val="single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0266AA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262987F6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81F2A" wp14:editId="39A054EA">
                <wp:simplePos x="0" y="0"/>
                <wp:positionH relativeFrom="margin">
                  <wp:posOffset>4810760</wp:posOffset>
                </wp:positionH>
                <wp:positionV relativeFrom="paragraph">
                  <wp:posOffset>-274319</wp:posOffset>
                </wp:positionV>
                <wp:extent cx="1828800" cy="1828800"/>
                <wp:effectExtent l="2519680" t="0" r="2543175" b="0"/>
                <wp:wrapNone/>
                <wp:docPr id="17413604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515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F3841" w14:textId="77777777" w:rsidR="00097FBF" w:rsidRPr="003D5EE2" w:rsidRDefault="00097FBF" w:rsidP="00097FBF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1F2A" id="_x0000_s1027" type="#_x0000_t202" style="position:absolute;left:0;text-align:left;margin-left:378.8pt;margin-top:-21.6pt;width:2in;height:2in;rotation:-3118254fd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" filled="f" stroked="f">
                <v:textbox style="mso-fit-shape-to-text:t">
                  <w:txbxContent>
                    <w:p w14:paraId="763F3841" w14:textId="77777777" w:rsidR="00097FBF" w:rsidRPr="003D5EE2" w:rsidRDefault="00097FBF" w:rsidP="00097FBF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Заполняется </w:t>
                      </w: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1BA1E" w14:textId="77777777" w:rsidR="00097FBF" w:rsidRPr="00776093" w:rsidRDefault="00097FBF" w:rsidP="00097FBF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345DCAE5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0D3D7D4D" w14:textId="77777777" w:rsidR="00097FBF" w:rsidRPr="00776093" w:rsidRDefault="00097FBF" w:rsidP="00097FBF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097FBF" w:rsidRPr="00776093" w14:paraId="163752F8" w14:textId="77777777" w:rsidTr="00082473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AFC98BD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177C531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178D722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61FEB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5276830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78EAD9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27A65D36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452B4E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63F335B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0461B7D5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D618E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378559EA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11D728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2FC23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13B97B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097FBF" w:rsidRPr="00776093" w14:paraId="5F247A3B" w14:textId="77777777" w:rsidTr="00082473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376BCB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D31F93D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338DAC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CEEAA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A0C18F3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D2602C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645B10F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A676B2" w14:textId="77777777" w:rsidR="00097FBF" w:rsidRPr="00776093" w:rsidRDefault="00097FBF" w:rsidP="000824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097FBF" w:rsidRPr="00776093" w14:paraId="61358754" w14:textId="77777777" w:rsidTr="00082473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72151C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A0875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743ED0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9A8C39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025EA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F6988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46DED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DFCFD8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97FBF" w:rsidRPr="00776093" w14:paraId="070941DB" w14:textId="77777777" w:rsidTr="0008247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959714" w14:textId="77777777" w:rsidR="00097FBF" w:rsidRPr="00776093" w:rsidRDefault="00097FBF" w:rsidP="0008247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D1B3E1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EEA1DE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C4A767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56E784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FCAFA2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EABD48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6C4E6B" w14:textId="77777777" w:rsidR="00097FBF" w:rsidRPr="00776093" w:rsidRDefault="00097FBF" w:rsidP="0008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97FBF" w:rsidRPr="00776093" w14:paraId="2C5C95EC" w14:textId="77777777" w:rsidTr="0008247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302004" w14:textId="77777777" w:rsidR="00097FBF" w:rsidRPr="00776093" w:rsidRDefault="00097FBF" w:rsidP="0008247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48E870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09BFE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13784D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FB001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F04DE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AA66F5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823A" w14:textId="77777777" w:rsidR="00097FBF" w:rsidRPr="00776093" w:rsidRDefault="00097FBF" w:rsidP="00082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6F0456B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7AA4147D" w14:textId="77777777" w:rsidR="00097FBF" w:rsidRPr="00776093" w:rsidRDefault="00097FBF" w:rsidP="00097FBF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3B2F653" w14:textId="77777777" w:rsidR="00097FBF" w:rsidRPr="00776093" w:rsidRDefault="00097FBF" w:rsidP="00097FBF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03A08BD3" w14:textId="77777777" w:rsidR="00097FBF" w:rsidRPr="00776093" w:rsidRDefault="00097FBF" w:rsidP="00097FBF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4120BD92" w14:textId="77777777" w:rsidR="00097FBF" w:rsidRPr="00776093" w:rsidRDefault="00097FBF" w:rsidP="00097FBF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2015726B" w14:textId="77777777" w:rsidR="00097FBF" w:rsidRPr="00776093" w:rsidRDefault="00097FBF" w:rsidP="00097FBF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A2BCD1">
          <v:shape id="_x0000_i1030" type="#_x0000_t75" style="width:7.5pt;height:14.25pt" o:ole="">
            <v:imagedata r:id="rId5" o:title=""/>
          </v:shape>
          <o:OLEObject Type="Embed" ProgID="Equation.DSMT4" ShapeID="_x0000_i1030" DrawAspect="Content" ObjectID="_1804506087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6E679DC" wp14:editId="62DDD97E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1D32751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4C985452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0AE7BE69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78075D8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1635C60C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proofErr w:type="gram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27FB8776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Егер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7788902E" w14:textId="77777777" w:rsidR="00097FBF" w:rsidRPr="00776093" w:rsidRDefault="00097FBF" w:rsidP="00097FBF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4D103E81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033AB634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</w:t>
      </w:r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proofErr w:type="gramEnd"/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7E6CAC79" w14:textId="77777777" w:rsidR="00097FBF" w:rsidRPr="00776093" w:rsidRDefault="00097FBF" w:rsidP="00097FBF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66384B84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="002F2FE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38"/>
      </w:tblGrid>
      <w:tr w:rsidR="00776093" w:rsidRPr="00776093" w14:paraId="11E526B4" w14:textId="77777777" w:rsidTr="00097FBF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4D3B6B4F" w14:textId="77777777" w:rsidR="00097FBF" w:rsidRDefault="00097FBF" w:rsidP="00097FBF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 xml:space="preserve">Директор департамента закупок и </w:t>
            </w:r>
            <w:r>
              <w:rPr>
                <w:sz w:val="24"/>
                <w:szCs w:val="24"/>
                <w:lang w:val="kk-KZ"/>
              </w:rPr>
              <w:t>МТС</w:t>
            </w:r>
            <w:r w:rsidRPr="00B8525D">
              <w:rPr>
                <w:sz w:val="24"/>
                <w:szCs w:val="24"/>
                <w:lang w:val="kk-KZ"/>
              </w:rPr>
              <w:t xml:space="preserve"> </w:t>
            </w:r>
          </w:p>
          <w:p w14:paraId="7B90A650" w14:textId="77777777" w:rsidR="00097FBF" w:rsidRPr="00B8525D" w:rsidRDefault="00097FBF" w:rsidP="00097FBF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7494B7D" w14:textId="77777777" w:rsidR="00097FBF" w:rsidRPr="00B8525D" w:rsidRDefault="00097FBF" w:rsidP="00097FBF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  <w:p w14:paraId="51E1E123" w14:textId="77777777" w:rsidR="00097FBF" w:rsidRDefault="00097FBF" w:rsidP="00097FBF">
            <w:pPr>
              <w:outlineLvl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>_______________________ Тымбаев Н.К.</w:t>
            </w:r>
          </w:p>
          <w:p w14:paraId="28EE0FB3" w14:textId="6186D6C0" w:rsidR="00776093" w:rsidRPr="00776093" w:rsidRDefault="00097FBF" w:rsidP="00097FBF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097FBF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1B7303A6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bookmarkStart w:id="0" w:name="_Hlk193893183"/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097FBF">
              <w:rPr>
                <w:rFonts w:eastAsia="Calibri"/>
                <w:sz w:val="24"/>
                <w:szCs w:val="24"/>
                <w:lang w:val="kk-KZ"/>
              </w:rPr>
              <w:t>ОМТС и СХ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  <w:bookmarkEnd w:id="0"/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097FBF">
        <w:tc>
          <w:tcPr>
            <w:tcW w:w="5281" w:type="dxa"/>
          </w:tcPr>
          <w:p w14:paraId="7BCF7FD4" w14:textId="5D9F5341" w:rsidR="00776093" w:rsidRPr="009E2FD0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bookmarkStart w:id="1" w:name="_Hlk193893233"/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9E2FD0">
              <w:rPr>
                <w:rFonts w:eastAsia="Calibri"/>
                <w:sz w:val="24"/>
                <w:szCs w:val="24"/>
              </w:rPr>
              <w:t>отдела ПБ, ОТ и ОС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  <w:bookmarkEnd w:id="1"/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4AC42D4C" w:rsidR="00776093" w:rsidRPr="00776093" w:rsidRDefault="00097FBF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Специалист ОМТС и СХ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31DB8F6" w14:textId="77777777" w:rsidR="00097FBF" w:rsidRDefault="00097FB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163C9959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</w:t>
      </w:r>
      <w:r w:rsidR="002F2FE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4879"/>
      </w:tblGrid>
      <w:tr w:rsidR="00776093" w:rsidRPr="00776093" w14:paraId="5509C677" w14:textId="77777777" w:rsidTr="00097FBF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739FE5AF" w14:textId="77777777" w:rsidR="00097FBF" w:rsidRPr="00776093" w:rsidRDefault="00097FBF" w:rsidP="00097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83B7112" w14:textId="77777777" w:rsidR="00097FBF" w:rsidRPr="00776093" w:rsidRDefault="00097FBF" w:rsidP="00097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сатып алу Департаменті директоры</w:t>
            </w:r>
          </w:p>
          <w:p w14:paraId="7B6D9B2C" w14:textId="77777777" w:rsidR="00097FBF" w:rsidRPr="00776093" w:rsidRDefault="00097FBF" w:rsidP="00097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E6ECCF" w14:textId="77777777" w:rsidR="00097FBF" w:rsidRPr="00776093" w:rsidRDefault="00097FBF" w:rsidP="00097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Тымбаев Н.К.</w:t>
            </w:r>
          </w:p>
          <w:p w14:paraId="23F0B910" w14:textId="5417848F" w:rsidR="00776093" w:rsidRPr="00776093" w:rsidRDefault="00097FBF" w:rsidP="00097FB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097FBF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03DBF8E9" w14:textId="755307F6" w:rsidR="00776093" w:rsidRPr="00776093" w:rsidRDefault="00097FBF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ҚШБ</w:t>
            </w:r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6F04058B" w:rsidR="00776093" w:rsidRPr="009E2FD0" w:rsidRDefault="009E2FD0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2F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Өндірістік қауіпсіздік, еңбекті және қоршаған ортаны қорғау бөлім басшысы</w:t>
            </w:r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097FBF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62E24B76" w:rsidR="00776093" w:rsidRPr="00776093" w:rsidRDefault="00097FBF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ҚШБ маманы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2CA8240B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="002F2FE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ОСУЩЕСТВЛЯЕМЫХ 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6325A3" w14:textId="77777777" w:rsidR="00097FBF" w:rsidRPr="00097FBF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Начальник ОМТС и СХ</w:t>
      </w:r>
    </w:p>
    <w:p w14:paraId="2EDFAC5A" w14:textId="44A79C55" w:rsidR="00776093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ТОО «Казахтуркмунай»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52E2F0" w14:textId="77777777" w:rsidR="00097FBF" w:rsidRPr="00097FBF" w:rsidRDefault="00097FBF" w:rsidP="00097F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Начальник </w:t>
      </w: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отдела ПБ, ОТ и ОС</w:t>
      </w:r>
    </w:p>
    <w:p w14:paraId="21AFAA19" w14:textId="0BD8E45D" w:rsidR="00A118B2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ТОО «Казахтуркмунай»</w:t>
      </w:r>
      <w:r w:rsidR="00A118B2" w:rsidRP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="00A118B2" w:rsidRP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="00A118B2" w:rsidRP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</w:t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5BF60A0" w14:textId="6B1D36CE" w:rsidR="00A118B2" w:rsidRPr="00A118B2" w:rsidRDefault="00A118B2" w:rsidP="00A118B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01672E69" w:rsidR="00776093" w:rsidRPr="00776093" w:rsidRDefault="00097FBF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Специалист ОМТС и СХ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A82BF4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766D311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A374926" w14:textId="213A3494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A118B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«______» _______ 202</w:t>
      </w:r>
      <w:r w:rsidR="002F2FE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ж</w:t>
      </w:r>
      <w:r w:rsidRPr="00A118B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5643109" w14:textId="77777777" w:rsidR="00097FBF" w:rsidRPr="00097FBF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«Қазақтүрікмұнай» ЖШС</w:t>
      </w:r>
    </w:p>
    <w:p w14:paraId="46A7E4FB" w14:textId="5FBA08A6" w:rsidR="00776093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МТЖ және ҚШБ басшысы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19D0DE5" w14:textId="77777777" w:rsidR="00097FBF" w:rsidRPr="00097FBF" w:rsidRDefault="00097FBF" w:rsidP="00097F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«Қазақтүрікмұнай» ЖШС</w:t>
      </w:r>
    </w:p>
    <w:p w14:paraId="2359FAD9" w14:textId="77777777" w:rsidR="00097FBF" w:rsidRDefault="00097FBF" w:rsidP="00097F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Өндірістік қауіпсіздік, еңбекті және қоршаған </w:t>
      </w:r>
    </w:p>
    <w:p w14:paraId="319C3F41" w14:textId="0CFEBB09" w:rsidR="00A118B2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97F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ортаны қорғау бөлім басшысы</w:t>
      </w:r>
      <w:r w:rsid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="00A118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ab/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________________</w:t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A118B2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E323853" w14:textId="5233816B" w:rsidR="00A118B2" w:rsidRPr="00776093" w:rsidRDefault="00A118B2" w:rsidP="00A118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76C5A9FE" w:rsidR="00776093" w:rsidRPr="00776093" w:rsidRDefault="00097FBF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97F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МТЖ және ҚШБ маманы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2C0D97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BEBAE9D" w14:textId="77777777" w:rsidR="00097FBF" w:rsidRPr="00776093" w:rsidRDefault="00097FBF" w:rsidP="00097FB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3B966B6B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4A3AC0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(подрядчика)                                                                       </w:t>
      </w:r>
    </w:p>
    <w:p w14:paraId="660C7A2A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07B77860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2491A98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03228CA6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5F7A6A89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55E661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 А Я В К А-ПРОПУСК</w:t>
      </w:r>
    </w:p>
    <w:p w14:paraId="58741B8F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5234C2" w14:textId="77777777" w:rsidR="00097FBF" w:rsidRPr="00776093" w:rsidRDefault="00097FBF" w:rsidP="00097FBF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 ___________________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61BEE153" w14:textId="77777777" w:rsidR="00097FBF" w:rsidRPr="00776093" w:rsidRDefault="00097FBF" w:rsidP="00097FBF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72D707E3" w14:textId="77777777" w:rsidR="00097FBF" w:rsidRPr="00776093" w:rsidRDefault="00097FBF" w:rsidP="00097FBF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 ____202__г.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«  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3E568E6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19A1872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097FBF" w:rsidRPr="00776093" w14:paraId="185AD699" w14:textId="77777777" w:rsidTr="0008247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0BC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24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97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7A4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321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5FFEC033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DF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E78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6F2D939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3D84526C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097FBF" w:rsidRPr="00776093" w14:paraId="773125C2" w14:textId="77777777" w:rsidTr="0008247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B7E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EA8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8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08D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A33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C7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A3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3828780" w14:textId="77777777" w:rsidR="00097FBF" w:rsidRPr="00776093" w:rsidRDefault="00097FBF" w:rsidP="00097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31951570" w14:textId="77777777" w:rsidR="00097FBF" w:rsidRPr="00776093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F643EA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03C48C20" w14:textId="77777777" w:rsidR="00097FBF" w:rsidRPr="00776093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097FBF" w:rsidRPr="00776093" w14:paraId="5185787A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59FB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DC8A80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11E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A010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8664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097FBF" w:rsidRPr="00776093" w14:paraId="04F01F6A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B79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8AB2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88C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453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AF1C881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8A5A9A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066AF6C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.Копии технических паспортов на автотранспорт.</w:t>
      </w:r>
    </w:p>
    <w:p w14:paraId="508A6BFD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95DA31F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847D0C6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06212715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0E4FA5D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2B65A24B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750FEF49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7F5BADC4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7B2627EB" w14:textId="77777777" w:rsidR="00097FBF" w:rsidRPr="00776093" w:rsidRDefault="00097FBF" w:rsidP="00097FBF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976870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976844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01D65BFC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937E88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АО/ТОО/ИП «______________».</w:t>
      </w:r>
    </w:p>
    <w:p w14:paraId="1069F2CA" w14:textId="77777777" w:rsidR="00097FBF" w:rsidRPr="00776093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3EF85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558ADBE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360DFF22" w14:textId="77777777" w:rsidR="00097FBF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bookmarkStart w:id="2" w:name="_Hlk176766826"/>
    </w:p>
    <w:p w14:paraId="52017C2A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</w:t>
      </w:r>
      <w:r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ж. күнгі № _______ Шарттың №6 қосымшасы</w:t>
      </w:r>
      <w:bookmarkEnd w:id="2"/>
    </w:p>
    <w:p w14:paraId="1E0535AB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48E8B5DD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295C9D6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676CD575" w14:textId="77777777" w:rsidR="00097FBF" w:rsidRPr="00B8525D" w:rsidRDefault="00097FBF" w:rsidP="00097FBF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Шығ.№ ___ күні   ___ </w:t>
      </w:r>
    </w:p>
    <w:p w14:paraId="5545C49E" w14:textId="77777777" w:rsidR="00097FBF" w:rsidRPr="00B8525D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                          «Қазақтүрікмұнай» ЖШС </w:t>
      </w:r>
    </w:p>
    <w:p w14:paraId="7094B670" w14:textId="77777777" w:rsidR="00097FBF" w:rsidRPr="00B8525D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Бас директоры</w:t>
      </w:r>
    </w:p>
    <w:p w14:paraId="1427ED1D" w14:textId="77777777" w:rsidR="00097FBF" w:rsidRPr="00776093" w:rsidRDefault="00097FBF" w:rsidP="00097FB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А.Н. Хамзинге</w:t>
      </w:r>
    </w:p>
    <w:p w14:paraId="5AC01FEA" w14:textId="77777777" w:rsidR="00097FBF" w:rsidRPr="00776093" w:rsidRDefault="00097FBF" w:rsidP="0009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17953E8F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Р Ұ Қ С А Т       Ө Т І Н І М І</w:t>
      </w:r>
    </w:p>
    <w:p w14:paraId="538DB2AA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E0BFEDE" w14:textId="77777777" w:rsidR="00097FBF" w:rsidRPr="00B8525D" w:rsidRDefault="00097FBF" w:rsidP="00097FBF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spacing w:val="3"/>
          <w:kern w:val="0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2D3D860F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      Кесте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№1</w:t>
      </w:r>
    </w:p>
    <w:p w14:paraId="2C4CA73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097FBF" w:rsidRPr="00776093" w14:paraId="15E7385E" w14:textId="77777777" w:rsidTr="0008247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AE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EC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942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62F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F08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C5E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177" w14:textId="77777777" w:rsidR="00097FBF" w:rsidRPr="00776093" w:rsidRDefault="00097FBF" w:rsidP="000824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097FBF" w:rsidRPr="00776093" w14:paraId="63C920CE" w14:textId="77777777" w:rsidTr="0008247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239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7C4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2A0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558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D46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D75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1FA" w14:textId="77777777" w:rsidR="00097FBF" w:rsidRPr="00776093" w:rsidRDefault="00097FBF" w:rsidP="0008247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35FC68A3" w14:textId="77777777" w:rsidR="00097FBF" w:rsidRPr="00776093" w:rsidRDefault="00097FBF" w:rsidP="00097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2F46FAF9" w14:textId="77777777" w:rsidR="00097FBF" w:rsidRPr="00B8525D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Кіретін (шығатын) </w:t>
      </w:r>
      <w:proofErr w:type="spellStart"/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автокөліктің</w:t>
      </w:r>
      <w:proofErr w:type="spellEnd"/>
    </w:p>
    <w:p w14:paraId="5117006B" w14:textId="77777777" w:rsidR="00097FBF" w:rsidRPr="00B8525D" w:rsidRDefault="00097FBF" w:rsidP="0009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</w:t>
      </w: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ІЗІМІ</w:t>
      </w:r>
    </w:p>
    <w:p w14:paraId="7A77DA2A" w14:textId="77777777" w:rsidR="00097FBF" w:rsidRPr="00B8525D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Кесте 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№2</w:t>
      </w:r>
    </w:p>
    <w:p w14:paraId="62F9808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097FBF" w:rsidRPr="00776093" w14:paraId="78C0EF19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C43D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4FA9220A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B738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0B429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C7A6A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097FBF" w:rsidRPr="00776093" w14:paraId="5CD6ED9D" w14:textId="77777777" w:rsidTr="0008247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93EF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096B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46A8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6D60" w14:textId="77777777" w:rsidR="00097FBF" w:rsidRPr="00776093" w:rsidRDefault="00097FBF" w:rsidP="0008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3C6695E6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469167AE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534350DB" w14:textId="77777777" w:rsidR="00097FBF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5881C8CF" w14:textId="77777777" w:rsidR="00097FBF" w:rsidRPr="009E5A69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9E5A69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:</w:t>
      </w:r>
    </w:p>
    <w:p w14:paraId="0601929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АҚ / ЖШС / ЖК қызметкерлерінің жеке куәліктерінің көшірмелері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05610864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. Автокөліктің техникалық паспорты көшірмелері.</w:t>
      </w:r>
    </w:p>
    <w:p w14:paraId="768BA8E2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6DAEE0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77EA22D5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6C475098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3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3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06EBC3F2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DC8BD9C" w14:textId="77777777" w:rsidR="00097FBF" w:rsidRPr="00776093" w:rsidRDefault="00097FBF" w:rsidP="00097F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391EC0F8" w14:textId="77777777" w:rsidR="00097FBF" w:rsidRPr="00776093" w:rsidRDefault="00097FBF" w:rsidP="00097FBF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3F3F55" w14:textId="34CC47CF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CF539A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673EA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28CD2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3AAA4A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EF762B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7F85A" w14:textId="77777777" w:rsidR="00A118B2" w:rsidRDefault="00A118B2" w:rsidP="00A118B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:sz w:val="20"/>
          <w:szCs w:val="20"/>
          <w14:ligatures w14:val="none"/>
        </w:rPr>
      </w:pPr>
    </w:p>
    <w:p w14:paraId="3BEBADD1" w14:textId="7C7A0FC9" w:rsidR="00A118B2" w:rsidRDefault="00A118B2" w:rsidP="00A118B2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7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26B1E0FF" w14:textId="77777777" w:rsidR="00A118B2" w:rsidRDefault="00A118B2" w:rsidP="00A118B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0"/>
          <w:sz w:val="20"/>
          <w:szCs w:val="20"/>
          <w14:ligatures w14:val="none"/>
        </w:rPr>
      </w:pPr>
    </w:p>
    <w:p w14:paraId="6A6D546E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F4CFEF6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МЕТОДИКА РАСЧЕТА КЛЮЧЕВЫХ ПОКАЗАТЕЛЕЙ ДЕЯТЕЛЬНОСТИ (ЭФФЕКТИВНОСТИ) ПОСТАВЩИКА (ДАЛЕЕ – КПД)</w:t>
      </w:r>
    </w:p>
    <w:p w14:paraId="47DE1F00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7F5592" w:rsidRPr="007F5592" w14:paraId="0A907263" w14:textId="77777777" w:rsidTr="00981324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2F5811C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60ADC8E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Показатель</w:t>
            </w:r>
          </w:p>
        </w:tc>
        <w:tc>
          <w:tcPr>
            <w:tcW w:w="2659" w:type="dxa"/>
            <w:vAlign w:val="center"/>
            <w:hideMark/>
          </w:tcPr>
          <w:p w14:paraId="0601B4D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Методология оценки</w:t>
            </w:r>
          </w:p>
        </w:tc>
        <w:tc>
          <w:tcPr>
            <w:tcW w:w="1026" w:type="dxa"/>
            <w:vAlign w:val="center"/>
            <w:hideMark/>
          </w:tcPr>
          <w:p w14:paraId="0A8465C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Баллы</w:t>
            </w:r>
          </w:p>
        </w:tc>
        <w:tc>
          <w:tcPr>
            <w:tcW w:w="1456" w:type="dxa"/>
            <w:vAlign w:val="center"/>
            <w:hideMark/>
          </w:tcPr>
          <w:p w14:paraId="1441D89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Удельный вес показателя</w:t>
            </w:r>
          </w:p>
        </w:tc>
        <w:tc>
          <w:tcPr>
            <w:tcW w:w="1488" w:type="dxa"/>
            <w:hideMark/>
          </w:tcPr>
          <w:p w14:paraId="3D1FDDE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Расчет</w:t>
            </w:r>
            <w:proofErr w:type="spellEnd"/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баллов за показатель</w:t>
            </w:r>
          </w:p>
        </w:tc>
      </w:tr>
      <w:tr w:rsidR="007F5592" w:rsidRPr="007F5592" w14:paraId="243F4DC1" w14:textId="77777777" w:rsidTr="00981324">
        <w:trPr>
          <w:trHeight w:val="246"/>
          <w:jc w:val="center"/>
        </w:trPr>
        <w:tc>
          <w:tcPr>
            <w:tcW w:w="568" w:type="dxa"/>
            <w:vAlign w:val="center"/>
          </w:tcPr>
          <w:p w14:paraId="6280EB6C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Align w:val="center"/>
            <w:hideMark/>
          </w:tcPr>
          <w:p w14:paraId="06D4759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1FAEDB4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121FBF1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66F3807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88" w:type="dxa"/>
            <w:hideMark/>
          </w:tcPr>
          <w:p w14:paraId="269459A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22B62AB6" w14:textId="77777777" w:rsidTr="00981324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2B96BDE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51002A1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Коэффициент исполнения обязательств по поставке в срок </w:t>
            </w:r>
          </w:p>
          <w:p w14:paraId="0E5CD3F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(On-Time Delivery) </w:t>
            </w:r>
          </w:p>
          <w:p w14:paraId="1A3D338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2659" w:type="dxa"/>
            <w:vAlign w:val="center"/>
            <w:hideMark/>
          </w:tcPr>
          <w:p w14:paraId="38EE98B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= 100</w:t>
            </w:r>
          </w:p>
        </w:tc>
        <w:tc>
          <w:tcPr>
            <w:tcW w:w="1026" w:type="dxa"/>
            <w:vAlign w:val="center"/>
            <w:hideMark/>
          </w:tcPr>
          <w:p w14:paraId="3466443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52536BE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655FAE7F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2D7433FD" w14:textId="77777777" w:rsidTr="00981324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4191432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7CCA5AD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  <w:hideMark/>
          </w:tcPr>
          <w:p w14:paraId="7A0B562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от 40 до 100</w:t>
            </w:r>
          </w:p>
        </w:tc>
        <w:tc>
          <w:tcPr>
            <w:tcW w:w="1026" w:type="dxa"/>
            <w:vAlign w:val="center"/>
            <w:hideMark/>
          </w:tcPr>
          <w:p w14:paraId="1FF5CA3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335AD5E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ECBD9E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615249E8" w14:textId="77777777" w:rsidTr="00981324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5DFB310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89585C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  <w:hideMark/>
          </w:tcPr>
          <w:p w14:paraId="6B3A1D2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ниже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40</w:t>
            </w:r>
          </w:p>
        </w:tc>
        <w:tc>
          <w:tcPr>
            <w:tcW w:w="1026" w:type="dxa"/>
            <w:vAlign w:val="center"/>
            <w:hideMark/>
          </w:tcPr>
          <w:p w14:paraId="2F7C3BC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4C0F05F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76463B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3EF9BE5E" w14:textId="77777777" w:rsidTr="00981324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2CEA2ED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2F1299C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Коэффициент качества продукции, рекламации на поставляемую продукцию (Production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quality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</w:p>
        </w:tc>
        <w:tc>
          <w:tcPr>
            <w:tcW w:w="2659" w:type="dxa"/>
            <w:vAlign w:val="center"/>
            <w:hideMark/>
          </w:tcPr>
          <w:p w14:paraId="77A18A2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0B3E02D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64FFB19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404C021C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2CC9727F" w14:textId="77777777" w:rsidTr="00981324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0E08FFF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A500B6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BD17CF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80 до 99</w:t>
            </w:r>
          </w:p>
        </w:tc>
        <w:tc>
          <w:tcPr>
            <w:tcW w:w="1026" w:type="dxa"/>
            <w:vAlign w:val="center"/>
            <w:hideMark/>
          </w:tcPr>
          <w:p w14:paraId="6EB45C8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184DD15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7C643EC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73AF6551" w14:textId="77777777" w:rsidTr="00981324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473A451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2179136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CE9B83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ниже 80</w:t>
            </w:r>
          </w:p>
        </w:tc>
        <w:tc>
          <w:tcPr>
            <w:tcW w:w="1026" w:type="dxa"/>
            <w:vAlign w:val="center"/>
            <w:hideMark/>
          </w:tcPr>
          <w:p w14:paraId="6D4D34D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45F085D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74BD82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24045D55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2ACED3E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86" w:type="dxa"/>
            <w:vMerge w:val="restart"/>
            <w:vAlign w:val="center"/>
          </w:tcPr>
          <w:p w14:paraId="5BA3378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 количества отбракованной продукции на входном контроле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Кбрак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</w:p>
        </w:tc>
        <w:tc>
          <w:tcPr>
            <w:tcW w:w="2659" w:type="dxa"/>
            <w:vAlign w:val="center"/>
          </w:tcPr>
          <w:p w14:paraId="1F96194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≤ 5% </w:t>
            </w:r>
          </w:p>
        </w:tc>
        <w:tc>
          <w:tcPr>
            <w:tcW w:w="1026" w:type="dxa"/>
            <w:vAlign w:val="center"/>
          </w:tcPr>
          <w:p w14:paraId="5C53729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086093A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7C0D445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41AEB9AC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67D4C8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1FEE08A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09CDA85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5%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7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,5%</w:t>
            </w:r>
          </w:p>
        </w:tc>
        <w:tc>
          <w:tcPr>
            <w:tcW w:w="1026" w:type="dxa"/>
            <w:vAlign w:val="center"/>
          </w:tcPr>
          <w:p w14:paraId="31BFA64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75%</w:t>
            </w:r>
          </w:p>
        </w:tc>
        <w:tc>
          <w:tcPr>
            <w:tcW w:w="1456" w:type="dxa"/>
            <w:vMerge/>
            <w:vAlign w:val="center"/>
          </w:tcPr>
          <w:p w14:paraId="205B1D7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6285CA4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646640ED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715E32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4DB96AE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5D46D7D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7,5%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10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026" w:type="dxa"/>
            <w:vAlign w:val="center"/>
          </w:tcPr>
          <w:p w14:paraId="01D233B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78177FB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388BC08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628ED6F3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41D5B94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3F3202A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C9CB86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10%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12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,5%</w:t>
            </w:r>
          </w:p>
        </w:tc>
        <w:tc>
          <w:tcPr>
            <w:tcW w:w="1026" w:type="dxa"/>
            <w:vAlign w:val="center"/>
          </w:tcPr>
          <w:p w14:paraId="235B2B4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25%</w:t>
            </w:r>
          </w:p>
        </w:tc>
        <w:tc>
          <w:tcPr>
            <w:tcW w:w="1456" w:type="dxa"/>
            <w:vMerge/>
            <w:vAlign w:val="center"/>
          </w:tcPr>
          <w:p w14:paraId="7B98E16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330BB0E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7381F834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CD90F3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4E2A13F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F4BBF4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 ≥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15%</w:t>
            </w:r>
          </w:p>
        </w:tc>
        <w:tc>
          <w:tcPr>
            <w:tcW w:w="1026" w:type="dxa"/>
            <w:vAlign w:val="center"/>
          </w:tcPr>
          <w:p w14:paraId="57F689A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280C54C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7C1CAF6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2E133DF0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5C1BD16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323D7FF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 соответствие критериям ESG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Principles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ESG)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esg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  <w:proofErr w:type="gramEnd"/>
          </w:p>
        </w:tc>
        <w:tc>
          <w:tcPr>
            <w:tcW w:w="2659" w:type="dxa"/>
            <w:vAlign w:val="center"/>
          </w:tcPr>
          <w:p w14:paraId="7C63D46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=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26" w:type="dxa"/>
            <w:vAlign w:val="center"/>
          </w:tcPr>
          <w:p w14:paraId="1CD7E51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217D227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58A0DB8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493590E3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33BDCE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1A95828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4BD1FE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от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 до 40</w:t>
            </w:r>
          </w:p>
        </w:tc>
        <w:tc>
          <w:tcPr>
            <w:tcW w:w="1026" w:type="dxa"/>
            <w:vAlign w:val="center"/>
          </w:tcPr>
          <w:p w14:paraId="167DB6D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6FDCFCF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0BE0C6C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317E8673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270425D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652C669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369C07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от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 до 25</w:t>
            </w:r>
          </w:p>
        </w:tc>
        <w:tc>
          <w:tcPr>
            <w:tcW w:w="1026" w:type="dxa"/>
            <w:vAlign w:val="center"/>
          </w:tcPr>
          <w:p w14:paraId="3B09AC3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7D206DC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601F72A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646CA8E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DF8C77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2C07EF7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477AE25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≤ 10</w:t>
            </w:r>
          </w:p>
        </w:tc>
        <w:tc>
          <w:tcPr>
            <w:tcW w:w="1026" w:type="dxa"/>
            <w:vAlign w:val="center"/>
          </w:tcPr>
          <w:p w14:paraId="504A780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53EB7C8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0C146A8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1C012D1F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64D56E7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6AFAE27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 исполнения доли местного содержания</w:t>
            </w:r>
          </w:p>
          <w:p w14:paraId="35CF651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659" w:type="dxa"/>
            <w:vAlign w:val="center"/>
          </w:tcPr>
          <w:p w14:paraId="70653C0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95 до 100</w:t>
            </w:r>
          </w:p>
        </w:tc>
        <w:tc>
          <w:tcPr>
            <w:tcW w:w="1026" w:type="dxa"/>
            <w:vAlign w:val="center"/>
          </w:tcPr>
          <w:p w14:paraId="76BCC63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430DE90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88" w:type="dxa"/>
            <w:vMerge w:val="restart"/>
            <w:vAlign w:val="center"/>
          </w:tcPr>
          <w:p w14:paraId="07B092E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555BD3A9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42CB96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72D0A42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4935D41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90 до 94,99</w:t>
            </w:r>
          </w:p>
        </w:tc>
        <w:tc>
          <w:tcPr>
            <w:tcW w:w="1026" w:type="dxa"/>
            <w:vAlign w:val="center"/>
          </w:tcPr>
          <w:p w14:paraId="3117510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668D248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4FBE5F5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74305E44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ED3D27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5F3CD69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C008E9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41 до 89,99</w:t>
            </w:r>
          </w:p>
        </w:tc>
        <w:tc>
          <w:tcPr>
            <w:tcW w:w="1026" w:type="dxa"/>
            <w:vAlign w:val="center"/>
          </w:tcPr>
          <w:p w14:paraId="7C6BBBE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4C1486D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4A853AD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6B5E470B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E9D4E0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73C8A34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32D21E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31 до 40,99</w:t>
            </w:r>
          </w:p>
        </w:tc>
        <w:tc>
          <w:tcPr>
            <w:tcW w:w="1026" w:type="dxa"/>
            <w:vAlign w:val="center"/>
          </w:tcPr>
          <w:p w14:paraId="2579800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4131EE9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339B642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180CC10B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AD85C2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7953C7B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1E20996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0 до 30,99</w:t>
            </w:r>
          </w:p>
        </w:tc>
        <w:tc>
          <w:tcPr>
            <w:tcW w:w="1026" w:type="dxa"/>
            <w:vAlign w:val="center"/>
          </w:tcPr>
          <w:p w14:paraId="63A9148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688637C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0017470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68391A0B" w14:textId="77777777" w:rsidTr="00981324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3C56933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605BAD9F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026" w:type="dxa"/>
          </w:tcPr>
          <w:p w14:paraId="38209D4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6" w:type="dxa"/>
            <w:vAlign w:val="center"/>
          </w:tcPr>
          <w:p w14:paraId="563F8C6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5EFB42A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A9113A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06DA39" w14:textId="77777777" w:rsidR="007F5592" w:rsidRPr="007F5592" w:rsidRDefault="007F5592" w:rsidP="007F5592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67EEBC28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Формулы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показателей: </w:t>
      </w:r>
    </w:p>
    <w:p w14:paraId="4CB549AF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D8A1C7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КПД № 1 Коэффициент исполнения обязательств по поставке в срок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On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-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Time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Delivery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</w:t>
      </w:r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 xml:space="preserve">К </w:t>
      </w:r>
      <w:proofErr w:type="spellStart"/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4EC33C03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2E22E6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К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= (Количество заказов без нарушений сроков/Общее количество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заказов)*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100%</w:t>
      </w:r>
    </w:p>
    <w:p w14:paraId="2A1C2F0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448C5D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где:</w:t>
      </w:r>
    </w:p>
    <w:p w14:paraId="5EC99271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измеряет процент заказов, доставленных вовремя. </w:t>
      </w:r>
    </w:p>
    <w:p w14:paraId="7603DDE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Метрика частоты согласно условиям договора, и целью должно быть 100% выполнение.</w:t>
      </w:r>
    </w:p>
    <w:p w14:paraId="0D64D37E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К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 характеризует качество показателя по исполнению Поставщиком обязательств по поставке Товаров в сроки, предусмотренные Договором.</w:t>
      </w:r>
    </w:p>
    <w:p w14:paraId="701243E4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Вместе с тем, в случае подтверждения действия форс-мажорного обстоятельства по согласованию с Заказчиком, показатели, подлежащие к исчислению по КПД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№1-4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могут быть не приняты при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данных КПД и откорректированы с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учетом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данных фактов.</w:t>
      </w:r>
    </w:p>
    <w:p w14:paraId="07C367BC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6F4BF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EC25D88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КПД №2 Коэффициент качества продукции, рекламации на поставляемую продукцию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Production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quality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Kpq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418B0EBC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EC1247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Kpq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Поставлено качественных изделий / Всего поставлено единиц.</w:t>
      </w:r>
    </w:p>
    <w:p w14:paraId="22A04E09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DE653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где:</w:t>
      </w:r>
    </w:p>
    <w:p w14:paraId="40DDE6CB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измеряет процент заказов, качественно доставленных. </w:t>
      </w:r>
    </w:p>
    <w:p w14:paraId="1BEBBE4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Метрика частоты условиям договора и целью должно быть 100% выполнение.</w:t>
      </w:r>
    </w:p>
    <w:p w14:paraId="3DF097E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 этом,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гарантия обеспечивает соответствие функциональным, эксплуатационным и эргономическим требованиям.</w:t>
      </w:r>
    </w:p>
    <w:p w14:paraId="51FFF2B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Функциональные требования Товара должны обеспечивать выполнение материалов его основной функции (защиты человека от неблагоприятного воздействия условий окружающей среды, производства и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т.д.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630E93F1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Эксплуатационные требования Товара должны обеспечивать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надежность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материалов, а именно: целостность материалов в процессе эксплуатации, долговечность (то есть способность сохранять работоспособность, внешний вид и свойства на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определенный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срок службы),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размеростабильность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формоустойчивость, ремонтопригодность материалов.</w:t>
      </w:r>
    </w:p>
    <w:p w14:paraId="414E795D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Эргономические требования отражают удобство пользования материалами. К этим требованиям относятся: гигиенические, антропометрические, физиологические и психофизиологические, психические.</w:t>
      </w:r>
    </w:p>
    <w:p w14:paraId="7A92C57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случае отсутствия фактов по выявлению гарантийных случаев за оцениваемый период по данному показателю применяется максимальный балл.</w:t>
      </w:r>
    </w:p>
    <w:p w14:paraId="6BAD660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К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pq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характеризует выявление гарантийных случаев, частоту и количество направленных Покупателем официальных претензий по качеству и заявленным гарантиям после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приемки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Товара и (или) пуска в эксплуатацию.</w:t>
      </w:r>
    </w:p>
    <w:p w14:paraId="762FFC9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FB5720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КПД № 3 Коэффициент количества отбракованной продукции на входном контроле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Rejected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products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(К</w:t>
      </w:r>
      <w:r w:rsidRPr="007F5592">
        <w:rPr>
          <w:rFonts w:ascii="Arial" w:eastAsia="Malgun Gothic" w:hAnsi="Arial" w:cs="Arial"/>
          <w:i/>
          <w:iCs/>
          <w:color w:val="000000"/>
          <w:kern w:val="24"/>
          <w:position w:val="-5"/>
          <w:sz w:val="18"/>
          <w:szCs w:val="18"/>
          <w:vertAlign w:val="subscript"/>
          <w:lang w:eastAsia="ru-RU"/>
          <w14:glow w14:rad="127000">
            <w14:srgbClr w14:val="FFFF00"/>
          </w14:glow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vertAlign w:val="subscript"/>
          <w:lang w:val="en-US"/>
          <w14:ligatures w14:val="none"/>
        </w:rPr>
        <w:t>rp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2A4A27BD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E35194" w14:textId="77777777" w:rsidR="007F5592" w:rsidRPr="007F5592" w:rsidRDefault="00000000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брак</m:t>
            </m:r>
          </m:sub>
        </m:sSub>
        <m:r>
          <w:rPr>
            <w:rFonts w:ascii="Cambria Math" w:eastAsia="Calibri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брак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kern w:val="0"/>
                    <w:sz w:val="24"/>
                    <w:szCs w:val="24"/>
                    <w:lang w:val="en-US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:lang w:val="en-US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общ.поставка</m:t>
                </m:r>
              </m:sub>
            </m:sSub>
          </m:den>
        </m:f>
      </m:oMath>
      <w:r w:rsidR="007F5592"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*100%,</w:t>
      </w:r>
    </w:p>
    <w:p w14:paraId="20BD8564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где:</w:t>
      </w:r>
    </w:p>
    <w:p w14:paraId="21B3131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брак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объем отбракованного Товара, выявленного по итогам входного контроля и (или)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приемки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Товара за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отчетный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период (в единицах измерения Приложения №_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);</w:t>
      </w:r>
      <w:proofErr w:type="gramEnd"/>
    </w:p>
    <w:p w14:paraId="6DF010F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общ.поставка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общий объем поставленного Товара за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отчетный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период (в единицах измерения Приложения №1).</w:t>
      </w:r>
    </w:p>
    <w:p w14:paraId="2DC731F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случае отсутствия фактов по выявлению отбракованной продукции на входном контроле за оцениваемый период по данному показателю применяется максимальный балл.</w:t>
      </w:r>
    </w:p>
    <w:p w14:paraId="4DD3A12C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Коэффициент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брак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 характеризует процентное соотношение отбракованной продукции при осуществлении входного контроля</w:t>
      </w:r>
    </w:p>
    <w:p w14:paraId="4ADAFEC8" w14:textId="77777777" w:rsidR="007F5592" w:rsidRPr="007F5592" w:rsidRDefault="007F5592" w:rsidP="007F5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(К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rp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 характеризует процентное соотношение отбракованной продукции при осуществлении входного контроля.</w:t>
      </w:r>
    </w:p>
    <w:p w14:paraId="4E6D2AC7" w14:textId="77777777" w:rsidR="007F5592" w:rsidRPr="007F5592" w:rsidRDefault="007F5592" w:rsidP="007F5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Данный показатель КПД № 3 «Коэффициент количества отбракованной продукции на входном контроле» по решению Заказчика по согласованию с портфельной компанией (ПК) может быть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исключен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При этом, удельный вес показателей КПД № 1, 2, 4, 5 распределяется следующим образом:</w:t>
      </w:r>
    </w:p>
    <w:p w14:paraId="4D0EF241" w14:textId="77777777" w:rsidR="007F5592" w:rsidRPr="007F5592" w:rsidRDefault="007F5592" w:rsidP="007F55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1 «Коэффициент исполнения обязательств по поставке в срок» – 35%;</w:t>
      </w:r>
    </w:p>
    <w:p w14:paraId="517078E9" w14:textId="77777777" w:rsidR="007F5592" w:rsidRPr="007F5592" w:rsidRDefault="007F5592" w:rsidP="007F55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2 «Коэффициент качества продукции, рекламации на поставляемую продукцию» – 30%;</w:t>
      </w:r>
    </w:p>
    <w:p w14:paraId="62DB5F8E" w14:textId="77777777" w:rsidR="007F5592" w:rsidRPr="007F5592" w:rsidRDefault="007F5592" w:rsidP="007F55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КПД № 4 «Коэффициент соответствие критериям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ESG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 – 15%;</w:t>
      </w:r>
    </w:p>
    <w:p w14:paraId="14EDAD6B" w14:textId="77777777" w:rsidR="007F5592" w:rsidRPr="007F5592" w:rsidRDefault="007F5592" w:rsidP="007F55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5 «Коэффициент исполнения доли местного содержания» – 25%.</w:t>
      </w:r>
    </w:p>
    <w:p w14:paraId="7D22ABBF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23C256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КПД № 4 Коэффициент соответствие критериям ESG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Principles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ESG)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14E33224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073AD5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= ∑баллов согласно списку критериев</w:t>
      </w:r>
    </w:p>
    <w:p w14:paraId="0F690095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A4809B4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измеряет уровень соответствия поставщика критериям принципов управления устойчивого развития в рамках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ESG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производиться по соответствию критериям, изложенных в Таблице № 1.</w:t>
      </w:r>
    </w:p>
    <w:p w14:paraId="48A9135C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>Коэффициент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>) характеризует уровень соответствия Поставщика принципа ESG по управлению устойчивого развития.</w:t>
      </w:r>
    </w:p>
    <w:p w14:paraId="19588984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Данный показатель КПД № 4 «Коэффициент соответствие критериям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ESG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» применяется в случае осуществления закупок равной и (или) превышающей 7 </w:t>
      </w:r>
      <w:proofErr w:type="spellStart"/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млн.тенге</w:t>
      </w:r>
      <w:proofErr w:type="spellEnd"/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74A03F4D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(без НДС).  При этом, удельный вес показателей КПД № 1, 2 и 5 распределяется следующим образом:</w:t>
      </w:r>
    </w:p>
    <w:p w14:paraId="42A96F93" w14:textId="77777777" w:rsidR="007F5592" w:rsidRPr="007F5592" w:rsidRDefault="007F5592" w:rsidP="007F55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1 «Коэффициент исполнения обязательств по поставке в срок» – 40%;</w:t>
      </w:r>
    </w:p>
    <w:p w14:paraId="792A24F4" w14:textId="77777777" w:rsidR="007F5592" w:rsidRPr="007F5592" w:rsidRDefault="007F5592" w:rsidP="007F55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2 «Коэффициент качества продукции, рекламации на поставляемую продукцию» – 30%;</w:t>
      </w:r>
    </w:p>
    <w:p w14:paraId="60D89A93" w14:textId="77777777" w:rsidR="007F5592" w:rsidRPr="007F5592" w:rsidRDefault="007F5592" w:rsidP="007F55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КПД № 5 «Коэффициент исполнения доли местного содержания» – 30%.</w:t>
      </w:r>
    </w:p>
    <w:p w14:paraId="70AEF601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208731" w14:textId="77777777" w:rsidR="007F5592" w:rsidRPr="007F5592" w:rsidRDefault="007F5592" w:rsidP="007F55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Таблица №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1"/>
        <w:gridCol w:w="4883"/>
        <w:gridCol w:w="1559"/>
        <w:gridCol w:w="1559"/>
        <w:gridCol w:w="992"/>
      </w:tblGrid>
      <w:tr w:rsidR="007F5592" w:rsidRPr="007F5592" w14:paraId="410CFC24" w14:textId="77777777" w:rsidTr="00981324">
        <w:trPr>
          <w:trHeight w:val="196"/>
          <w:jc w:val="center"/>
        </w:trPr>
        <w:tc>
          <w:tcPr>
            <w:tcW w:w="641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EF1BF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488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10E9A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критерия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DFFC5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Уровень оценки (баллы)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DF6AB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Итого при МАХ</w:t>
            </w:r>
          </w:p>
        </w:tc>
      </w:tr>
      <w:tr w:rsidR="007F5592" w:rsidRPr="007F5592" w14:paraId="7FA6D35B" w14:textId="77777777" w:rsidTr="00981324">
        <w:trPr>
          <w:trHeight w:val="19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31C3E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3" w:type="dxa"/>
            <w:vMerge/>
            <w:shd w:val="clear" w:color="auto" w:fill="auto"/>
            <w:vAlign w:val="center"/>
            <w:hideMark/>
          </w:tcPr>
          <w:p w14:paraId="5234373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367CA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59572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МАХ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070D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54B963DC" w14:textId="77777777" w:rsidTr="00981324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73AA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62D8F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Наличие сертификации ISO 9001 (международный стандарт, содержащий требования к системе менеджмента качества),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путем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подтверждения засвидетельствованной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ыми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печатью Поставщика копией (-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ми)  сертификата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на момент заключения 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B291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D4469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A637D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142A9F0D" w14:textId="77777777" w:rsidTr="00981324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8DB9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C320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Наличие сертификации ISO 14001 (международный стандарт, содержащий требования к системе экологического управления),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путем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подтверждения засвидетельствованной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ыми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печатью Поставщика копией (-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ми)  сертификата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на момент заключения 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8F78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AD224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09D48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430BDA1E" w14:textId="77777777" w:rsidTr="00981324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247A0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6B6BC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Наличие сертификации OHSAS 18000/45001 (серия стандартов, содержащих требования и руководящие указания к разработке и внедрению систем менеджмента промышленной безопасности и охраны труда),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путем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подтверждения засвидетельствованной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ыми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печатью Поставщика копией (-ми)  сертификата (-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на момент заключения 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1BEB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EC9D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17ED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5592" w:rsidRPr="007F5592" w14:paraId="5183835B" w14:textId="77777777" w:rsidTr="00981324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BB8CD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16C2B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Ведение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учета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отходов в текущем году (шерсти, ткани, различных выбросов и 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т.д.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по согласованной заказчиком и поставщиком форме с предоставлением подтверждающих документов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38993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A5EF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A2C5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52DBFC8D" w14:textId="77777777" w:rsidTr="00981324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53290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59CBC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Подтверждение о повышении квалификации работников (за исключением работников сферы охраны труда) в текущем году (наличие контрактов, счетов оплаты, сертификатов и 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т.д.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EA9FA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AA84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6558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09FCE2F5" w14:textId="77777777" w:rsidTr="00981324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74854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9459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Наличие политики приверженности по принципам устойчивого развития и ESG и соответствующее размещение информации по данному направлению, в 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т.ч.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годовых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отчетов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на корпоративном сайте компании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F7B1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00DA1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CB1C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F5592" w:rsidRPr="007F5592" w14:paraId="669ECED8" w14:textId="77777777" w:rsidTr="00981324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9B854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5D2E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Наличие документов, подтверждающих повышение квалификации/проверку знаний по охране труда у специалиста(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ов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или уполномоченного работника по охране труда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9ED3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5F5C3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62352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7EBB21F9" w14:textId="77777777" w:rsidTr="00981324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7229F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C06EA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Увеличение налоговых отчислений (КПН) в текущем году в сравнении с предыдущим (справка о налоговых отчислениях по форме уполномоченного органа за оба года).</w:t>
            </w:r>
          </w:p>
          <w:p w14:paraId="6C61BDA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4B5D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B09F6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FB8A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5592" w:rsidRPr="007F5592" w14:paraId="15F24D20" w14:textId="77777777" w:rsidTr="00981324">
        <w:trPr>
          <w:trHeight w:val="196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1348B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D97D9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B4772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4BF6D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48C67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</w:tbl>
    <w:p w14:paraId="0B857735" w14:textId="77777777" w:rsidR="007F5592" w:rsidRPr="007F5592" w:rsidRDefault="007F5592" w:rsidP="007F55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3AD0AC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D641499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КПД № 5 Коэффициент исполнения доли местного содержания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Кдмс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vertAlign w:val="subscript"/>
          <w14:ligatures w14:val="none"/>
        </w:rPr>
        <w:t>с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637721AC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6C53B97E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Кдмс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 ДМС.</w:t>
      </w:r>
    </w:p>
    <w:p w14:paraId="63001A32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где: </w:t>
      </w:r>
    </w:p>
    <w:p w14:paraId="15F9E11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ДМС – Значение доли местного содержания согласно сертификату СТ-КЗ в %.</w:t>
      </w:r>
    </w:p>
    <w:p w14:paraId="2E3CB234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8D4AFB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случае поставки по договору более одного вида товара с разной долей местного содержания, в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берется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средневзвешенный показатель:</w:t>
      </w:r>
    </w:p>
    <w:p w14:paraId="6C827412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ABBE2A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Кдмс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 (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1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2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+….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en-US"/>
          <w14:ligatures w14:val="none"/>
        </w:rPr>
        <w:t>n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en-US"/>
          <w14:ligatures w14:val="none"/>
        </w:rPr>
        <w:t>n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)/(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2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+….+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4EAB3330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где:</w:t>
      </w:r>
    </w:p>
    <w:p w14:paraId="18D7A1CA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объем закупок по подкатегории в разрезе сертификатов СТ-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КЗ;</w:t>
      </w:r>
      <w:proofErr w:type="gramEnd"/>
    </w:p>
    <w:p w14:paraId="236684B2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количество значений по доле местного содержания и их значений в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объемах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период.</w:t>
      </w:r>
    </w:p>
    <w:p w14:paraId="2EFD70FD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E468F6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Поставщик согласно условиям договора предоставляет Заказчику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отчет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 выполнении вышеуказанных КПД, не позднее чем за 60 календарных дней до даты истечения срока действия договора;</w:t>
      </w:r>
    </w:p>
    <w:p w14:paraId="149B710C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Заказчик вправе инициировать выезд на объекты потенциальных поставщиков совместно с членами закупочной категорийной группой (ЗКГ) на предмет соответствия критериям КПД.</w:t>
      </w:r>
    </w:p>
    <w:p w14:paraId="2A4C9E5F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4612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В случае если итоговые баллы по результатам оценки Поставщика эквивалентны следующим показателям</w:t>
      </w:r>
      <w:r w:rsidRPr="007F5592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:</w:t>
      </w:r>
    </w:p>
    <w:p w14:paraId="1DEFE951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Итог по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≥85% (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течении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года до окончания срока действия Договора) - При исполнении данного порогового итогового значения ключевых показателей деятельности Заказчик обязан пролонгировать договор.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 этом,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Поставщик имеет право на дополнительные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объемы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поставок,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путем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подписания с Поставщиком дополнительного соглашения сроком на 1 год на условиях действующего договора (в т.ч. при условии не изменения цен);</w:t>
      </w:r>
    </w:p>
    <w:p w14:paraId="17D67B3B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65% ≤ Итог по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&lt; 85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% – Поставщик оплачивает единовременный штраф в размере 3% от суммы поставленного Товара за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отчетный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период;</w:t>
      </w:r>
    </w:p>
    <w:p w14:paraId="1A423FC2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50% ≤ Итог по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&lt;65% -Поставщик оплачивает единовременный штраф в размере 5% от суммы поставленных Товаров за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отчетный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период;</w:t>
      </w:r>
    </w:p>
    <w:p w14:paraId="7A94A73A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Итог по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&lt; 50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%. При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расчете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баллов менее 50%,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течении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срока действия Договора, </w:t>
      </w:r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Поставщик оплачивает единовременный штраф в размере 10% от суммы поставленных Товаров за </w:t>
      </w:r>
      <w:proofErr w:type="spellStart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отчетный</w:t>
      </w:r>
      <w:proofErr w:type="spellEnd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период и Заказчик имеет право на включение Поставщика в список </w:t>
      </w:r>
      <w:proofErr w:type="spellStart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ненадежных</w:t>
      </w:r>
      <w:proofErr w:type="spellEnd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потенциальных поставщик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ов (поставщиков) Фонда в соответствии с Порядком (в случае наличия данного основания в Порядке).</w:t>
      </w:r>
    </w:p>
    <w:p w14:paraId="33E04D4A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01D50B" w14:textId="77777777" w:rsidR="007F5592" w:rsidRPr="007F5592" w:rsidRDefault="007F5592" w:rsidP="007F55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Доля ДМС на Товар – показывает значение использования сырья (ткани, фурнитуры) местного производителя при изготовлении и поставки готовой продукции.</w:t>
      </w:r>
    </w:p>
    <w:p w14:paraId="4456D393" w14:textId="77777777" w:rsidR="007F5592" w:rsidRPr="007F5592" w:rsidRDefault="007F5592" w:rsidP="007F55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ДЗО по обоюдному согласию с Поставщиком по согласованию ПК могут исключить требование по применению подходов по КПД в случае отсутствия жалоб по исполнению договора и при заключении договора </w:t>
      </w:r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на сумму меньше чем 20 </w:t>
      </w:r>
      <w:proofErr w:type="spellStart"/>
      <w:proofErr w:type="gramStart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млн.тенге</w:t>
      </w:r>
      <w:proofErr w:type="spellEnd"/>
      <w:proofErr w:type="gramEnd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без НДС. </w:t>
      </w:r>
      <w:proofErr w:type="gramStart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 иных случаях,</w:t>
      </w:r>
      <w:proofErr w:type="gramEnd"/>
      <w:r w:rsidRPr="007F55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применение КПД является обязательным условием.</w:t>
      </w:r>
    </w:p>
    <w:p w14:paraId="51FF7A4E" w14:textId="77777777" w:rsidR="007F5592" w:rsidRPr="007F5592" w:rsidRDefault="007F5592" w:rsidP="007F559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 этом,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обязательство по мониторингу КПД № 5 исполнения доли местного содержания является обязательным.</w:t>
      </w:r>
    </w:p>
    <w:p w14:paraId="06C07734" w14:textId="77777777" w:rsidR="00CB79D1" w:rsidRPr="00CB79D1" w:rsidRDefault="00CB79D1" w:rsidP="00CB79D1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A9AB82" w14:textId="77777777" w:rsidR="00CB79D1" w:rsidRPr="00CB79D1" w:rsidRDefault="00CB79D1" w:rsidP="00CB79D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5058"/>
      </w:tblGrid>
      <w:tr w:rsidR="00CB79D1" w:rsidRPr="00CB79D1" w14:paraId="60A354EC" w14:textId="77777777" w:rsidTr="00B06CB9">
        <w:tc>
          <w:tcPr>
            <w:tcW w:w="4991" w:type="dxa"/>
          </w:tcPr>
          <w:p w14:paraId="282554BF" w14:textId="77777777" w:rsidR="00CB79D1" w:rsidRPr="00CB79D1" w:rsidRDefault="00CB79D1" w:rsidP="00CB79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Заказчик:</w:t>
            </w:r>
          </w:p>
        </w:tc>
        <w:tc>
          <w:tcPr>
            <w:tcW w:w="5201" w:type="dxa"/>
          </w:tcPr>
          <w:p w14:paraId="3B30F7E8" w14:textId="77777777" w:rsidR="00CB79D1" w:rsidRPr="00CB79D1" w:rsidRDefault="00CB79D1" w:rsidP="00CB79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Поставщик:</w:t>
            </w:r>
          </w:p>
        </w:tc>
      </w:tr>
      <w:tr w:rsidR="00CB79D1" w:rsidRPr="00CB79D1" w14:paraId="10632638" w14:textId="77777777" w:rsidTr="00B06CB9">
        <w:tc>
          <w:tcPr>
            <w:tcW w:w="4991" w:type="dxa"/>
          </w:tcPr>
          <w:p w14:paraId="74FDD32C" w14:textId="77777777" w:rsidR="00CB79D1" w:rsidRPr="00CB79D1" w:rsidRDefault="00CB79D1" w:rsidP="00CB79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  <w:p w14:paraId="489B3F56" w14:textId="77777777" w:rsidR="00CB79D1" w:rsidRPr="00CB79D1" w:rsidRDefault="00CB79D1" w:rsidP="00CB79D1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CB79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  <w:p w14:paraId="06D9A5EE" w14:textId="77777777" w:rsidR="00CB79D1" w:rsidRPr="00CB79D1" w:rsidRDefault="00CB79D1" w:rsidP="00CB79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__________________Ф.И.О.</w:t>
            </w:r>
          </w:p>
          <w:p w14:paraId="66BF4D36" w14:textId="77777777" w:rsidR="00CB79D1" w:rsidRPr="00CB79D1" w:rsidRDefault="00CB79D1" w:rsidP="00CB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МП</w:t>
            </w:r>
          </w:p>
        </w:tc>
        <w:tc>
          <w:tcPr>
            <w:tcW w:w="5201" w:type="dxa"/>
          </w:tcPr>
          <w:p w14:paraId="540201D5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6C0D33D3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518A11A0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__________________Ф.И.О.</w:t>
            </w:r>
          </w:p>
          <w:p w14:paraId="38D2F739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МП</w:t>
            </w:r>
          </w:p>
        </w:tc>
      </w:tr>
    </w:tbl>
    <w:p w14:paraId="41A57D1C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746F780D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645D123A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165A7AA1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4F817512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0CF8EC99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4C7C8423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15EA075E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22C88DFD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15254591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2E1C8CD3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4DBDEFE3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06531BBE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0CB25057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12465347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1D9D7059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618B3A99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6D21F1E5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0CEE9100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4771A817" w14:textId="77777777" w:rsidR="00731872" w:rsidRDefault="0073187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</w:p>
    <w:p w14:paraId="2499ADA4" w14:textId="643FFBE6" w:rsidR="00A118B2" w:rsidRDefault="00A118B2" w:rsidP="00A118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</w:t>
      </w:r>
      <w:r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7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 xml:space="preserve"> қосымшасы</w:t>
      </w:r>
    </w:p>
    <w:p w14:paraId="7EDA3F8C" w14:textId="77777777" w:rsidR="00A118B2" w:rsidRDefault="00A118B2" w:rsidP="00A118B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2EDB1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  <w:t>ЖЕТКІЗУШІНІҢ ҚЫЗМЕТІНІҢ НЕГІЗГІ КӨРСЕТКІШТЕРІН (ТИІМДІЛІГІНІҢ) ЕСЕПТЕУ ӘДІСТЕМЕСІ (БҰДАН ӘРІ – КПД)</w:t>
      </w:r>
    </w:p>
    <w:p w14:paraId="7BD580C7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</w:pPr>
    </w:p>
    <w:p w14:paraId="48BA5E8F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7F5592" w:rsidRPr="007F5592" w14:paraId="1C09E372" w14:textId="77777777" w:rsidTr="00981324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30CA6EF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6110ADF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Көрсеткіш</w:t>
            </w:r>
          </w:p>
        </w:tc>
        <w:tc>
          <w:tcPr>
            <w:tcW w:w="2659" w:type="dxa"/>
            <w:vAlign w:val="center"/>
            <w:hideMark/>
          </w:tcPr>
          <w:p w14:paraId="57EF80B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Бағалау әдістемесі</w:t>
            </w:r>
          </w:p>
        </w:tc>
        <w:tc>
          <w:tcPr>
            <w:tcW w:w="1026" w:type="dxa"/>
            <w:vAlign w:val="center"/>
            <w:hideMark/>
          </w:tcPr>
          <w:p w14:paraId="1A2A33C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Балл</w:t>
            </w: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дар</w:t>
            </w:r>
          </w:p>
        </w:tc>
        <w:tc>
          <w:tcPr>
            <w:tcW w:w="1456" w:type="dxa"/>
            <w:vAlign w:val="center"/>
            <w:hideMark/>
          </w:tcPr>
          <w:p w14:paraId="6011AC8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Көрсеткіштің меншікті салмағы</w:t>
            </w:r>
          </w:p>
        </w:tc>
        <w:tc>
          <w:tcPr>
            <w:tcW w:w="1488" w:type="dxa"/>
            <w:hideMark/>
          </w:tcPr>
          <w:p w14:paraId="21141F8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Көрсеткіш үшін балл есебі</w:t>
            </w:r>
          </w:p>
        </w:tc>
      </w:tr>
      <w:tr w:rsidR="007F5592" w:rsidRPr="007F5592" w14:paraId="4406D855" w14:textId="77777777" w:rsidTr="00981324">
        <w:trPr>
          <w:trHeight w:val="246"/>
          <w:jc w:val="center"/>
        </w:trPr>
        <w:tc>
          <w:tcPr>
            <w:tcW w:w="568" w:type="dxa"/>
            <w:vAlign w:val="center"/>
          </w:tcPr>
          <w:p w14:paraId="426753BF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Align w:val="center"/>
            <w:hideMark/>
          </w:tcPr>
          <w:p w14:paraId="11049D3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7910A7E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0F06A0C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0C5324B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88" w:type="dxa"/>
            <w:hideMark/>
          </w:tcPr>
          <w:p w14:paraId="6CB3AD2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1ADC9514" w14:textId="77777777" w:rsidTr="00981324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55A6180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5FF3EA7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Мерзімінде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жеткізу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міндеттемелерді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орындау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коэффициенті</w:t>
            </w:r>
            <w:proofErr w:type="spellEnd"/>
          </w:p>
          <w:p w14:paraId="2B773DC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(On-Time Delivery)</w:t>
            </w:r>
          </w:p>
          <w:p w14:paraId="188A1E5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2659" w:type="dxa"/>
            <w:vAlign w:val="center"/>
            <w:hideMark/>
          </w:tcPr>
          <w:p w14:paraId="05BAACA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= 100</w:t>
            </w:r>
          </w:p>
        </w:tc>
        <w:tc>
          <w:tcPr>
            <w:tcW w:w="1026" w:type="dxa"/>
            <w:vAlign w:val="center"/>
            <w:hideMark/>
          </w:tcPr>
          <w:p w14:paraId="657F1DB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58A50B5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4EB1ECF7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34C60CBD" w14:textId="77777777" w:rsidTr="00981324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1B4FCF7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5FD7191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  <w:hideMark/>
          </w:tcPr>
          <w:p w14:paraId="59E97F4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40</w:t>
            </w: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  <w14:ligatures w14:val="none"/>
              </w:rPr>
              <w:t xml:space="preserve"> бастап </w:t>
            </w: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</w:t>
            </w: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  <w:hideMark/>
          </w:tcPr>
          <w:p w14:paraId="6DC4F2C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37A1AAC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0219E6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3981CD9C" w14:textId="77777777" w:rsidTr="00981324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2CE3812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2EDEB4D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  <w:hideMark/>
          </w:tcPr>
          <w:p w14:paraId="30CCB01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otd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төмен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40</w:t>
            </w:r>
          </w:p>
        </w:tc>
        <w:tc>
          <w:tcPr>
            <w:tcW w:w="1026" w:type="dxa"/>
            <w:vAlign w:val="center"/>
            <w:hideMark/>
          </w:tcPr>
          <w:p w14:paraId="378C323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186FCD0A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1419B6A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F5592" w:rsidRPr="007F5592" w14:paraId="604E3387" w14:textId="77777777" w:rsidTr="00981324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43B9AD7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453FA4B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сапасының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жеткізілетін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өнімге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жарнама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(Production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quality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</w:p>
        </w:tc>
        <w:tc>
          <w:tcPr>
            <w:tcW w:w="2659" w:type="dxa"/>
            <w:vAlign w:val="center"/>
            <w:hideMark/>
          </w:tcPr>
          <w:p w14:paraId="359FB49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4ADFB4B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03256CC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4DCA2DDC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525EBDB7" w14:textId="77777777" w:rsidTr="00981324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331BB46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48E3F47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6C270D9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80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бастап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  <w:hideMark/>
          </w:tcPr>
          <w:p w14:paraId="3140495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0A4999F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44A3938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C97B61D" w14:textId="77777777" w:rsidTr="00981324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17A0E70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12CADCD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0B86146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Kpq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төмен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80</w:t>
            </w:r>
          </w:p>
        </w:tc>
        <w:tc>
          <w:tcPr>
            <w:tcW w:w="1026" w:type="dxa"/>
            <w:vAlign w:val="center"/>
            <w:hideMark/>
          </w:tcPr>
          <w:p w14:paraId="31C931B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0E844CB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047EB94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7790368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333222A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86" w:type="dxa"/>
            <w:vMerge w:val="restart"/>
            <w:vAlign w:val="center"/>
          </w:tcPr>
          <w:p w14:paraId="2568D37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Кіріс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бақылауындағы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қабылданбаған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санының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Кбрак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</w:p>
        </w:tc>
        <w:tc>
          <w:tcPr>
            <w:tcW w:w="2659" w:type="dxa"/>
            <w:vAlign w:val="center"/>
          </w:tcPr>
          <w:p w14:paraId="418436F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≤ 5% </w:t>
            </w:r>
          </w:p>
        </w:tc>
        <w:tc>
          <w:tcPr>
            <w:tcW w:w="1026" w:type="dxa"/>
            <w:vAlign w:val="center"/>
          </w:tcPr>
          <w:p w14:paraId="083CB1C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1B7D5DF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338B70F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77AF422D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48845A3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1884C02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7CB598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5%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7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,5%</w:t>
            </w:r>
          </w:p>
        </w:tc>
        <w:tc>
          <w:tcPr>
            <w:tcW w:w="1026" w:type="dxa"/>
            <w:vAlign w:val="center"/>
          </w:tcPr>
          <w:p w14:paraId="0F374C7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75%</w:t>
            </w:r>
          </w:p>
        </w:tc>
        <w:tc>
          <w:tcPr>
            <w:tcW w:w="1456" w:type="dxa"/>
            <w:vMerge/>
            <w:vAlign w:val="center"/>
          </w:tcPr>
          <w:p w14:paraId="577D4DB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7D1A5EA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A30846B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98ABA0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7A10486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5DB5B24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7,5%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10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026" w:type="dxa"/>
            <w:vAlign w:val="center"/>
          </w:tcPr>
          <w:p w14:paraId="1E84AC7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62D8982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2A5140D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10332DB0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0254C55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0922F3C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1CEF892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10% ≤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&lt; 12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,5%</w:t>
            </w:r>
          </w:p>
        </w:tc>
        <w:tc>
          <w:tcPr>
            <w:tcW w:w="1026" w:type="dxa"/>
            <w:vAlign w:val="center"/>
          </w:tcPr>
          <w:p w14:paraId="2C6D051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25%</w:t>
            </w:r>
          </w:p>
        </w:tc>
        <w:tc>
          <w:tcPr>
            <w:tcW w:w="1456" w:type="dxa"/>
            <w:vMerge/>
            <w:vAlign w:val="center"/>
          </w:tcPr>
          <w:p w14:paraId="6D69C1FF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0D444C6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8EC6C38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66C638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5731DF9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2F5AB51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брак</w:t>
            </w:r>
            <w:proofErr w:type="spell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 ≥</w:t>
            </w:r>
            <w:proofErr w:type="gramEnd"/>
            <w:r w:rsidRPr="007F5592">
              <w:rPr>
                <w:rFonts w:ascii="Times New Roman" w:eastAsia="Malgun Gothic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15%</w:t>
            </w:r>
          </w:p>
        </w:tc>
        <w:tc>
          <w:tcPr>
            <w:tcW w:w="1026" w:type="dxa"/>
            <w:vAlign w:val="center"/>
          </w:tcPr>
          <w:p w14:paraId="45E2E18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55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2BF35A5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31DD114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23007DC0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7100664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375F912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ESG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критерийлеріне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сәйкестік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Principles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ESG)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esg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)*</w:t>
            </w:r>
            <w:proofErr w:type="gramEnd"/>
          </w:p>
        </w:tc>
        <w:tc>
          <w:tcPr>
            <w:tcW w:w="2659" w:type="dxa"/>
            <w:vAlign w:val="center"/>
          </w:tcPr>
          <w:p w14:paraId="685027D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=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26" w:type="dxa"/>
            <w:vAlign w:val="center"/>
          </w:tcPr>
          <w:p w14:paraId="6616009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75212FE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1538116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6297CB21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4E506B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413F7DC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3BC86F2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30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бастап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135D897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06700AC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1359442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489BA041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45897B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05C1227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5D5336A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бастап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25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5C65345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1967907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74ADBF9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50022637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55FB17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1327B92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5F723B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Кesg</w:t>
            </w:r>
            <w:proofErr w:type="spellEnd"/>
            <w:r w:rsidRPr="007F559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≤ 10</w:t>
            </w:r>
          </w:p>
        </w:tc>
        <w:tc>
          <w:tcPr>
            <w:tcW w:w="1026" w:type="dxa"/>
            <w:vAlign w:val="center"/>
          </w:tcPr>
          <w:p w14:paraId="252160A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0C8572E2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769512E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5E4C80DD" w14:textId="77777777" w:rsidTr="00981324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7D80FC2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5856146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Жергілікті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қамту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үлесінің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орындалу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коэффициенті</w:t>
            </w:r>
            <w:proofErr w:type="spellEnd"/>
          </w:p>
          <w:p w14:paraId="795A4C2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659" w:type="dxa"/>
            <w:vAlign w:val="center"/>
          </w:tcPr>
          <w:p w14:paraId="1829252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proofErr w:type="gram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95</w:t>
            </w:r>
            <w:proofErr w:type="gram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бастап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100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7D82214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0442924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88" w:type="dxa"/>
            <w:vMerge w:val="restart"/>
            <w:vAlign w:val="center"/>
          </w:tcPr>
          <w:p w14:paraId="08F29BB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77955320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7F87FC5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534A681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6888AED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90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бастап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94,99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5EA888E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0299107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4519531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35190FA3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6A2E531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223F584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732B511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41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бастап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89,99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5FD2FEB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C830CE6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0A92998B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218A2885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1D79A52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5EC180D7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4078905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31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бастап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40,99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6C47654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0A061E2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27C0911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378440AC" w14:textId="77777777" w:rsidTr="00981324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4C414D02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6" w:type="dxa"/>
            <w:vMerge/>
            <w:vAlign w:val="center"/>
          </w:tcPr>
          <w:p w14:paraId="003425A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9" w:type="dxa"/>
            <w:vAlign w:val="center"/>
          </w:tcPr>
          <w:p w14:paraId="6B94A4D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дмс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бастап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30,99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4085E3D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6B83903D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8" w:type="dxa"/>
            <w:vMerge/>
            <w:vAlign w:val="center"/>
          </w:tcPr>
          <w:p w14:paraId="31417723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03FB6A32" w14:textId="77777777" w:rsidTr="00981324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67B1E0D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2E0BC0EC" w14:textId="77777777" w:rsidR="007F5592" w:rsidRPr="007F5592" w:rsidRDefault="007F5592" w:rsidP="007F5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БАРЛЫҒЫ</w:t>
            </w:r>
          </w:p>
        </w:tc>
        <w:tc>
          <w:tcPr>
            <w:tcW w:w="1026" w:type="dxa"/>
          </w:tcPr>
          <w:p w14:paraId="13F4DA4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6" w:type="dxa"/>
            <w:vAlign w:val="center"/>
          </w:tcPr>
          <w:p w14:paraId="3366A6A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0413BB0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25A16E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AEEBAD" w14:textId="77777777" w:rsidR="007F5592" w:rsidRPr="007F5592" w:rsidRDefault="007F5592" w:rsidP="007F5592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6E942935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lastRenderedPageBreak/>
        <w:t>Көрсеткіштерді есептеу формулалары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44FDBC88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3684FF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КПД № 1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Мерзімінде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жеткізу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міндеттемелерді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орындау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On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-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Time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Delivery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</w:t>
      </w:r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 xml:space="preserve">К </w:t>
      </w:r>
      <w:proofErr w:type="spellStart"/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27991171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63ED79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К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=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бұзбай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тапсырыстар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саны/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тапсырыстардың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Жалпы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саны)*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100%</w:t>
      </w:r>
    </w:p>
    <w:p w14:paraId="23E2B1C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AC9D51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Бұл жерде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BFF972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уақытында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тапсырыстардың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пайызын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өлшейді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55E8C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шарттарына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жиілік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мақсат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100%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орындалуы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керек.</w:t>
      </w:r>
    </w:p>
    <w:p w14:paraId="15CF72E2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К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otd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Жеткізушінің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көзделген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мерзімдерде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тауарларды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жөніндегі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міндеттемелерді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көрсеткіштің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сапасын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сипаттайды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770D1C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Сонымен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қатар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берушімен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келісім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форс-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мажорлық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мән-жайдың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расталған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№1-4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жататын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көрсеткіштер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деректерін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осы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фактілерді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ескере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отырып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түзетілуі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мүмкін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C3ED02D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0C5227E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КПД №2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Өнім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сапасының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жеткізілетін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өнімге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жарнама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Production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quality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Kpq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35C914F0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E351ADE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Kpq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</w:t>
      </w:r>
      <w:r w:rsidRPr="007F5592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Сапалы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бұйымдар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жеткізілді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/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барлығы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kk-KZ"/>
          <w14:ligatures w14:val="none"/>
        </w:rPr>
        <w:t xml:space="preserve">...........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бірлік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жеткізілді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5654B52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B57DD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Бұл жерде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FA98C8D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сапалы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тапсырыстардың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пайызын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өлшейді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681E931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Жиілік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метрикасы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мен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мақсаты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100%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орындалуы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керек.</w:t>
      </w:r>
    </w:p>
    <w:p w14:paraId="50DBF34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ретте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кепілдік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функционалдық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эргономикалық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сәйкестігін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қамтамасыз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1031DA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функционалдық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негізгі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функциясының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материалдарының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орындалуын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қамтамасыз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етуі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керек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адамды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қоршаған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орта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жағдайларының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өндірістің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т.б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қолайсыз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әсерінен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қорғау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055529E0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Тауарлардың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материалдардың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сенімділігін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қамтамасыз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етуі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керек,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атап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айтқанда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процесінде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материалдардың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тұтастығы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беріктігі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яғни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белгілі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қызмет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жұмыс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қабілеттілігін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сыртқы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түрін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қасиеттерін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сақтау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мүмкіндігі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материалдардың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өлшемділігі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пішініне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төзімділігі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жөнделуі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F343A4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Эргономикалық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материалдарды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ыңғайлылығын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мыналар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жатады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гигиеналық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антропометриялық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физиологиялық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психофизиологиялық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психикалық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1ABE58D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бағаланатын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үшін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кепілдік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жағдайларын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анықтау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фактілер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болмаған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жоғары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91F11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Кpq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қабылдағаннан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немесе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бергеннен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кейін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алушы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сапа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мәлімделген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кепілдіктер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жіберген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ресми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жиілігі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мен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санын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кепілдік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жағдайларын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анықтауды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сипаттайды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BDAF94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A99847C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КПД № 3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Кіріс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бақылауындағы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өнім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санының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Rejected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products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 (К</w:t>
      </w:r>
      <w:r w:rsidRPr="007F5592">
        <w:rPr>
          <w:rFonts w:ascii="Arial" w:eastAsia="Malgun Gothic" w:hAnsi="Arial" w:cs="Arial"/>
          <w:i/>
          <w:iCs/>
          <w:color w:val="000000"/>
          <w:kern w:val="24"/>
          <w:position w:val="-5"/>
          <w:sz w:val="18"/>
          <w:szCs w:val="18"/>
          <w:vertAlign w:val="subscript"/>
          <w:lang w:eastAsia="ru-RU"/>
          <w14:glow w14:rad="127000">
            <w14:srgbClr w14:val="FFFF00"/>
          </w14:glow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vertAlign w:val="subscript"/>
          <w:lang w:val="en-US"/>
          <w14:ligatures w14:val="none"/>
        </w:rPr>
        <w:t>rp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1E7C80A3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5F9CCC" w14:textId="77777777" w:rsidR="007F5592" w:rsidRPr="007F5592" w:rsidRDefault="00000000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брак</m:t>
            </m:r>
          </m:sub>
        </m:sSub>
        <m:r>
          <w:rPr>
            <w:rFonts w:ascii="Cambria Math" w:eastAsia="Calibri" w:hAnsi="Cambria Math" w:cs="Times New Roman"/>
            <w:color w:val="000000"/>
            <w:kern w:val="0"/>
            <w:sz w:val="24"/>
            <w:szCs w:val="24"/>
            <w14:ligatures w14:val="none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брак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kern w:val="0"/>
                    <w:sz w:val="24"/>
                    <w:szCs w:val="24"/>
                    <w:lang w:val="en-US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:lang w:val="en-US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  <w14:ligatures w14:val="none"/>
                  </w:rPr>
                  <m:t>общ.поставка</m:t>
                </m:r>
              </m:sub>
            </m:sSub>
          </m:den>
        </m:f>
      </m:oMath>
      <w:r w:rsidR="007F5592"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*100%,</w:t>
      </w:r>
    </w:p>
    <w:p w14:paraId="540EFEB2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где:</w:t>
      </w:r>
    </w:p>
    <w:p w14:paraId="5E4DE28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брак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кіріс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бақылау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немесе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қорытындылары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анықталған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көлемі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(№_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қосымшаның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бірліктерінде</w:t>
      </w:r>
      <w:proofErr w:type="spellEnd"/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);</w:t>
      </w:r>
      <w:proofErr w:type="gramEnd"/>
    </w:p>
    <w:p w14:paraId="6CF85C83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общ.поставка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жалпы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көлемі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(№1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қосымшаның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бірліктерінде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0F01F704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Кіріс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бақылауында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анықтау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фактілер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болмаған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осы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бағаланатын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үшін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жоғары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6E1DC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Коэффициент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брак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–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кіріс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бақылауын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жүзеге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асыру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пайыздық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қатынасын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сипаттайды</w:t>
      </w:r>
      <w:proofErr w:type="spellEnd"/>
    </w:p>
    <w:p w14:paraId="707A615E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 (К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rp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–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кіріс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бақылауын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жүзеге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асыру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пайыздық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қатынасын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сипаттайды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F644D1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берушінің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шешімі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портфельдік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компаниямен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(ПК)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келісім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№ 3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«К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іріс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бақылауындағы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қабылданбаған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санының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» КПД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алынып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тасталуы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мүмкін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ретте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№ 1, 2, 4, 5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КПД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көрсеткіштерінің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салмағы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мынадай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түрде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бөлінеді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FBACE8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№1 «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М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ерзімінде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міндеттемелерді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-35%;</w:t>
      </w:r>
    </w:p>
    <w:p w14:paraId="3C92119F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№2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«Ө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нім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сапасының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жеткізілетін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жарнама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- 30%;</w:t>
      </w:r>
    </w:p>
    <w:p w14:paraId="4ABACEE9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№4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«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ESG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критерийлеріне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» КПД -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15%;</w:t>
      </w:r>
    </w:p>
    <w:p w14:paraId="7BA0ABCA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№5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«Ж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КПД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25%.</w:t>
      </w:r>
    </w:p>
    <w:p w14:paraId="5DEB5AD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08F10E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КПД № 4 ESG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критерийлеріне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сәйкестік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Principles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ESG)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57145EBB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831210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= ∑</w:t>
      </w:r>
      <w:proofErr w:type="spellStart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балв</w:t>
      </w:r>
      <w:proofErr w:type="spellEnd"/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kk-KZ"/>
          <w14:ligatures w14:val="none"/>
        </w:rPr>
        <w:t>критерий тізіміне сәйкес</w:t>
      </w:r>
    </w:p>
    <w:p w14:paraId="1658B965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CD1967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KPI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жеткізушінің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ESG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шеңберіндегі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тұрақты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дамуды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басқару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принциптерінің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критерийлеріне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деңгейін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өлшейді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№ 1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кестеде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өлшемдерге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жүргізіледі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5469B9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Коэффициент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>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>Кesg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0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тұрақты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дамуды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басқару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ESG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принципінің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жеткізушісінің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деңгейін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сипаттайды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068A7DC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«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ESG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критерийлеріне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 № 4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7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млн.теңгеге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(ҚҚС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немесе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асатын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жүзеге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асырған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Бұл ретте № 1, 2 және 5 КПД көрсеткіштерінің үлес салмағы мынадай түрде бөлінеді:</w:t>
      </w:r>
    </w:p>
    <w:p w14:paraId="29FC91F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– № 1 «Мерзімінде жеткізу бойынша міндеттемелердің орындалу коэффициенті» КПД-40%;</w:t>
      </w:r>
    </w:p>
    <w:p w14:paraId="597891E9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 №2 «Өнім сапасының коэффициенті, жеткізілетін өнімге жарнама» - 30%;</w:t>
      </w:r>
    </w:p>
    <w:p w14:paraId="0182880B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– № 5 «Жергілікті қамту үлесінің орындалу коэффициенті» КПД - 30%.</w:t>
      </w:r>
    </w:p>
    <w:p w14:paraId="07A9ACCC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</w:p>
    <w:p w14:paraId="1356B454" w14:textId="77777777" w:rsidR="007F5592" w:rsidRPr="007F5592" w:rsidRDefault="007F5592" w:rsidP="007F55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Кесте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№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6"/>
        <w:gridCol w:w="4845"/>
        <w:gridCol w:w="1553"/>
        <w:gridCol w:w="1549"/>
        <w:gridCol w:w="1051"/>
      </w:tblGrid>
      <w:tr w:rsidR="007F5592" w:rsidRPr="007F5592" w14:paraId="11B01CC8" w14:textId="77777777" w:rsidTr="00981324">
        <w:trPr>
          <w:trHeight w:val="196"/>
          <w:jc w:val="center"/>
        </w:trPr>
        <w:tc>
          <w:tcPr>
            <w:tcW w:w="636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0AB8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484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24F2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Критерий атауы</w:t>
            </w:r>
          </w:p>
        </w:tc>
        <w:tc>
          <w:tcPr>
            <w:tcW w:w="3102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333DD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Бағалау деңгейі</w:t>
            </w: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(балл</w:t>
            </w: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дар</w:t>
            </w: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8F15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Барлығы </w:t>
            </w: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МАХ</w:t>
            </w:r>
          </w:p>
        </w:tc>
      </w:tr>
      <w:tr w:rsidR="007F5592" w:rsidRPr="007F5592" w14:paraId="02FA06A2" w14:textId="77777777" w:rsidTr="00981324">
        <w:trPr>
          <w:trHeight w:val="19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4CEDA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  <w:hideMark/>
          </w:tcPr>
          <w:p w14:paraId="1E455CE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0A103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МИН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1BEE7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МАХ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7E35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5592" w:rsidRPr="007F5592" w14:paraId="31AC8E92" w14:textId="77777777" w:rsidTr="00981324">
        <w:trPr>
          <w:trHeight w:val="783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D2FE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834320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ISO 9001 (сапа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менеджменті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жүйесіне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қойылатын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талаптарды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қамтитын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халықаралық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стандарт)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жеткізілім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оны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жаңарту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кезеңіне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қолданылу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шарт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жасасу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сәтінде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Жеткізушінің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куәландырылған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мөрімен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көшірмесін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жолымен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318C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CAC20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 балл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болған жағдайда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81FBF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47999861" w14:textId="77777777" w:rsidTr="00981324">
        <w:trPr>
          <w:trHeight w:val="783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E64E5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7DDCE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ISO 14001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экологиялық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басқару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жүйесіне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қойылатын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талаптарды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қамтитын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халықаралық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стандарт)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жеткізілім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оны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жаңарту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кезеңіне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қолданылу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шарт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жасасу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сәтінде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берушінің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куәландырылған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мөрімен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көшірмесін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жолымен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51A4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2CF12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D22B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707F02C9" w14:textId="77777777" w:rsidTr="00981324">
        <w:trPr>
          <w:trHeight w:val="783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77893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D8FEB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OHSAS 18000/45001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өнеркәсіптік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қауіпсіздік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менеджменті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жүйелерін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әзірлеуге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енгізуге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қойылатын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талаптар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мен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нұсқаулықтарды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қамтитын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стандарттар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сериясы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жеткізілім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кезеңіне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қолданылу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шарт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жасасу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сәтінде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өнім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берушінің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куәландырылған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мөрімен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көшірмесін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жолымен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жаңартулар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B0A19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3452B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6BC34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5592" w:rsidRPr="007F5592" w14:paraId="22B0EAC1" w14:textId="77777777" w:rsidTr="00981324">
        <w:trPr>
          <w:trHeight w:val="392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AC870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84E6C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Тапсырыс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беруші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Жеткізуші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келіскен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нысан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растайтын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құжаттарды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ұсына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отырып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ағымдағы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қалдықтардың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мата,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түрлі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шығарындылар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т. б.)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есебін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жүргізу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B567F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33E56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5B329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413ED95D" w14:textId="77777777" w:rsidTr="00981324">
        <w:trPr>
          <w:trHeight w:val="392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AB96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1811E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Ағымдағы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қызметкерлердің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саласындағы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қызметкерлерді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қоспағанда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біліктілігін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арттыру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туралы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келісімшарттардың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төлем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шоттарының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сертификаттардың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т. б.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73ACD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BAEA2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B6CF6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689ACED5" w14:textId="77777777" w:rsidTr="00981324">
        <w:trPr>
          <w:trHeight w:val="392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259AC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B09864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Орнықты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даму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ESG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қағидаттары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міндеттеме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саясатының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осы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бағыт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ақпаратты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ішінде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Компанияның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корпоративтік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сайтында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жылдық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есептерді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тиісті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орналастыру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D32013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25A88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D8073F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7F5592" w:rsidRPr="007F5592" w14:paraId="36C5F95A" w14:textId="77777777" w:rsidTr="00981324">
        <w:trPr>
          <w:trHeight w:val="392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D9E2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A89FF9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Маман(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дар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жөніндегі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уәкілетті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қызметкердің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жөніндегі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біліктілігін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арттыруды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білімін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тексеруді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растайтын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құжаттардың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болуы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0DE59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2D3B9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545EC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F5592" w:rsidRPr="007F5592" w14:paraId="7ECE8E20" w14:textId="77777777" w:rsidTr="00981324">
        <w:trPr>
          <w:trHeight w:val="392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FBB67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45CC8" w14:textId="77777777" w:rsidR="007F5592" w:rsidRPr="007F5592" w:rsidRDefault="007F5592" w:rsidP="007F5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Алдыңғы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жылмен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салыстырғанда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ағымдағы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салық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аударымдарын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(КТС)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ұлғайту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уәкілетті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органның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екі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жылдағы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нысаны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салық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аударымдары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туралы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анықтама</w:t>
            </w:r>
            <w:proofErr w:type="spellEnd"/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8452A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болмаған жағдайда</w:t>
            </w: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42344D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 балл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болған жағдайда</w:t>
            </w: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D31DB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F5592" w:rsidRPr="007F5592" w14:paraId="124F5701" w14:textId="77777777" w:rsidTr="00981324">
        <w:trPr>
          <w:trHeight w:val="196"/>
          <w:jc w:val="center"/>
        </w:trPr>
        <w:tc>
          <w:tcPr>
            <w:tcW w:w="63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F4D39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25741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БАРЛЫҒЫ</w:t>
            </w:r>
          </w:p>
        </w:tc>
        <w:tc>
          <w:tcPr>
            <w:tcW w:w="155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CA2065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99CFC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181E4E" w14:textId="77777777" w:rsidR="007F5592" w:rsidRPr="007F5592" w:rsidRDefault="007F5592" w:rsidP="007F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59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</w:tbl>
    <w:p w14:paraId="08C96B7A" w14:textId="77777777" w:rsidR="007F5592" w:rsidRPr="007F5592" w:rsidRDefault="007F5592" w:rsidP="007F559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2CDDF2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4B5059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КПД № 5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қамту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үлесінің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орындалу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коэффициенті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Кдмс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vertAlign w:val="subscript"/>
          <w14:ligatures w14:val="none"/>
        </w:rPr>
        <w:t>с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)</w:t>
      </w:r>
    </w:p>
    <w:p w14:paraId="2A565275" w14:textId="77777777" w:rsidR="007F5592" w:rsidRPr="007F5592" w:rsidRDefault="007F5592" w:rsidP="007F559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4CA60A2D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Кдмс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 ДМС.</w:t>
      </w:r>
    </w:p>
    <w:p w14:paraId="18E1389E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Бұл жерде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1345B7D4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ДМС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СТ-КЗ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сертификатына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%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A9FCDB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564A48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қамтудың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әртүрлі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бар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түрінен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артық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орташа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өлшенген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есепке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алынады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16C7536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D97648" w14:textId="77777777" w:rsidR="007F5592" w:rsidRPr="007F5592" w:rsidRDefault="007F5592" w:rsidP="007F55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Кдмс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= (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1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2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+….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en-US"/>
          <w14:ligatures w14:val="none"/>
        </w:rPr>
        <w:t>n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*ДМС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en-US"/>
          <w14:ligatures w14:val="none"/>
        </w:rPr>
        <w:t>n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)/(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2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+….+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699B5D94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жерде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861E42A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СТ-КЗ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сертификаттары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бөлінісінде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кіші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санат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көлемі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proofErr w:type="gramEnd"/>
    </w:p>
    <w:p w14:paraId="2E7ADA3A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мәндердің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саны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олардың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есептік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кезеңдегі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көлемдегі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мәндері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12BB09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9E2B8C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талаптарына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берушіге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аяқталған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күнге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дейін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60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күнтізбе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і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кешіктірмей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жоғарыда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КПД-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орындалуы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туралы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DF98D8C" w14:textId="77777777" w:rsidR="007F5592" w:rsidRPr="007F5592" w:rsidRDefault="007F5592" w:rsidP="007F5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Тапсырыс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беруші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әлеуетті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жеткізушілердің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объектілеріне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санаттық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тобының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(БҚГ)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мүшелерімен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бірлесіп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өлшемшарттарына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сәйкестігі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тұрғысынан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шығуға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бастамашылық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жасауға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құқылы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9B81F14" w14:textId="77777777" w:rsidR="007F5592" w:rsidRPr="007F5592" w:rsidRDefault="007F5592" w:rsidP="007F5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8D3FC5" w14:textId="77777777" w:rsidR="007F5592" w:rsidRPr="007F5592" w:rsidRDefault="007F5592" w:rsidP="007F5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Егер </w:t>
      </w:r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:lang w:val="kk-KZ"/>
          <w14:ligatures w14:val="none"/>
        </w:rPr>
        <w:t xml:space="preserve">Жеткізушіні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бағалау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нәтижелері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баллдар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мынадай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көрсеткіштерге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баламалы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болған</w:t>
      </w:r>
      <w:proofErr w:type="spellEnd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:</w:t>
      </w:r>
    </w:p>
    <w:p w14:paraId="60D44BEB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≥85%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баллдарды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аяқталғанға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дейін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жыл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ішінде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-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қызметтің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негізгі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көрсеткіштерінің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осы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шекті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Тапсырыс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беруші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ұзартуға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міндетті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ретте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Жеткізушінің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қолданыстағы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талаптарында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ішінде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бағалар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өзгермеген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Жеткізушімен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жыл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қосымша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келісімге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қою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жолымен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жеткізілімдердің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қосымша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көлеміне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құқығы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бар;</w:t>
      </w:r>
    </w:p>
    <w:p w14:paraId="4B717107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65% ≤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баллдарды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&lt; 85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% -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сомасының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3%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мөлшерінде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біржолғы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айыппұл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төлейді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A0A00A5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50% ≤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баллдарды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&lt;65% -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кезеңде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тауарлар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сомасының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5%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мөлшерінде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біржолғы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айыппұл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төлейді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CC79162" w14:textId="77777777" w:rsidR="007F5592" w:rsidRPr="007F5592" w:rsidRDefault="007F5592" w:rsidP="007F55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Ұпайларды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қорытынды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&lt; 50</w:t>
      </w:r>
      <w:proofErr w:type="gram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%.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қолданылу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мерзімі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ішінде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50% - дан кем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балдарды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есептеу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  <w:t xml:space="preserve">Жеткізуші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есепті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кезеңде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жеткізілген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тауарлар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сомасының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10%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мөлшерінде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біржолғы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айыппұл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төлейді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Тапсырыс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берушінің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Қордың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сенімсіз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әлеуетті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өнім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берушілерінің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өнім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берушілерінің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тізіміне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  <w:t>Жеткізушіні Т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әртіпке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сәйкес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(осы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негіз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  <w:t>Т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әртіппен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болған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енгізуге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құқығы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бар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213578" w14:textId="77777777" w:rsidR="007F5592" w:rsidRPr="007F5592" w:rsidRDefault="007F5592" w:rsidP="007F559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0D0067" w14:textId="77777777" w:rsidR="007F5592" w:rsidRPr="007F5592" w:rsidRDefault="007F5592" w:rsidP="007F559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*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Тауар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үшін ДМС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дайын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өнімді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дайындау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жеткізу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өндірушінің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шикізатын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матасын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фурнитурасын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пайдалану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мәнін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көрсетеді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5D55806" w14:textId="77777777" w:rsidR="007F5592" w:rsidRPr="007F5592" w:rsidRDefault="007F5592" w:rsidP="007F559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* ЕТҰ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Жеткізушімен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өзара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келісім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ПК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келісімі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шағымдар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болмаған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жағдайда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және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жасасу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кезінде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ҚҚС-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сыз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20 </w:t>
      </w:r>
      <w:proofErr w:type="spellStart"/>
      <w:proofErr w:type="gram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млн.теңгеден</w:t>
      </w:r>
      <w:proofErr w:type="spellEnd"/>
      <w:proofErr w:type="gram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аз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сомаға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kk-KZ"/>
          <w14:ligatures w14:val="none"/>
        </w:rPr>
        <w:t>КПД</w:t>
      </w:r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тәсілдерді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қолдану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жөніндегі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талапты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алып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тастай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алады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Басқа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жағдайларда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тиімділікті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қолдану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міндетті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шарт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болып</w:t>
      </w:r>
      <w:proofErr w:type="spellEnd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табылады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49E812B" w14:textId="77777777" w:rsidR="007F5592" w:rsidRPr="007F5592" w:rsidRDefault="007F5592" w:rsidP="007F559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*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Бұл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ретте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жергілікті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қамту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үлесін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орындаудың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№ 5 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КПД</w:t>
      </w:r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мониторингі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бойынша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міндеттеме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міндетті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болып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табылады</w:t>
      </w:r>
      <w:proofErr w:type="spellEnd"/>
      <w:r w:rsidRPr="007F559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0ED23A0" w14:textId="77777777" w:rsidR="00CB79D1" w:rsidRPr="00CB79D1" w:rsidRDefault="00CB79D1" w:rsidP="00CB79D1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47C7EF9" w14:textId="77777777" w:rsidR="00CB79D1" w:rsidRPr="00CB79D1" w:rsidRDefault="00CB79D1" w:rsidP="00CB79D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00C19" w14:textId="77777777" w:rsidR="00CB79D1" w:rsidRPr="00CB79D1" w:rsidRDefault="00CB79D1" w:rsidP="00CB79D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5044"/>
      </w:tblGrid>
      <w:tr w:rsidR="00CB79D1" w:rsidRPr="00CB79D1" w14:paraId="23C48850" w14:textId="77777777" w:rsidTr="00B06CB9">
        <w:tc>
          <w:tcPr>
            <w:tcW w:w="4991" w:type="dxa"/>
          </w:tcPr>
          <w:p w14:paraId="437CD54D" w14:textId="77777777" w:rsidR="00CB79D1" w:rsidRPr="00CB79D1" w:rsidRDefault="00CB79D1" w:rsidP="00CB79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Тапсырыс беруші</w:t>
            </w: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201" w:type="dxa"/>
          </w:tcPr>
          <w:p w14:paraId="270FC9FC" w14:textId="77777777" w:rsidR="00CB79D1" w:rsidRPr="00CB79D1" w:rsidRDefault="00CB79D1" w:rsidP="00CB79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Жеткізуші</w:t>
            </w: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CB79D1" w:rsidRPr="00CB79D1" w14:paraId="6489DB76" w14:textId="77777777" w:rsidTr="00B06CB9">
        <w:tc>
          <w:tcPr>
            <w:tcW w:w="4991" w:type="dxa"/>
          </w:tcPr>
          <w:p w14:paraId="45AE2EA4" w14:textId="77777777" w:rsidR="00CB79D1" w:rsidRPr="00CB79D1" w:rsidRDefault="00CB79D1" w:rsidP="00CB79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  <w:p w14:paraId="464031A7" w14:textId="77777777" w:rsidR="00CB79D1" w:rsidRPr="00CB79D1" w:rsidRDefault="00CB79D1" w:rsidP="00CB79D1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ab/>
            </w:r>
            <w:r w:rsidRPr="00CB79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  <w:p w14:paraId="27BDB8F9" w14:textId="77777777" w:rsidR="00CB79D1" w:rsidRPr="00CB79D1" w:rsidRDefault="00CB79D1" w:rsidP="00CB79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__________________</w:t>
            </w: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Аты-жөні</w:t>
            </w:r>
          </w:p>
          <w:p w14:paraId="346DF21D" w14:textId="77777777" w:rsidR="00CB79D1" w:rsidRPr="00CB79D1" w:rsidRDefault="00CB79D1" w:rsidP="00CB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М</w:t>
            </w: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О</w:t>
            </w:r>
          </w:p>
        </w:tc>
        <w:tc>
          <w:tcPr>
            <w:tcW w:w="5201" w:type="dxa"/>
          </w:tcPr>
          <w:p w14:paraId="78EE0B36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5F311E29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7A5EFB5C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__________________</w:t>
            </w:r>
            <w:r w:rsidRPr="00CB79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Аты-жөні</w:t>
            </w:r>
          </w:p>
          <w:p w14:paraId="28DDEAEA" w14:textId="77777777" w:rsidR="00CB79D1" w:rsidRPr="00CB79D1" w:rsidRDefault="00CB79D1" w:rsidP="00CB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</w:t>
            </w:r>
            <w:r w:rsidRPr="00CB79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О</w:t>
            </w:r>
          </w:p>
        </w:tc>
      </w:tr>
    </w:tbl>
    <w:p w14:paraId="0FF9B681" w14:textId="77777777" w:rsidR="00042C49" w:rsidRPr="00A118B2" w:rsidRDefault="00042C49">
      <w:pPr>
        <w:rPr>
          <w:lang w:val="kk-KZ"/>
        </w:rPr>
      </w:pPr>
    </w:p>
    <w:sectPr w:rsidR="00042C49" w:rsidRPr="00A118B2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195D46"/>
    <w:multiLevelType w:val="hybridMultilevel"/>
    <w:tmpl w:val="862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8D3"/>
    <w:multiLevelType w:val="hybridMultilevel"/>
    <w:tmpl w:val="D1FAF778"/>
    <w:lvl w:ilvl="0" w:tplc="059685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3130354">
    <w:abstractNumId w:val="0"/>
  </w:num>
  <w:num w:numId="2" w16cid:durableId="981078749">
    <w:abstractNumId w:val="3"/>
  </w:num>
  <w:num w:numId="3" w16cid:durableId="1733387787">
    <w:abstractNumId w:val="1"/>
  </w:num>
  <w:num w:numId="4" w16cid:durableId="1174224033">
    <w:abstractNumId w:val="5"/>
  </w:num>
  <w:num w:numId="5" w16cid:durableId="1321890466">
    <w:abstractNumId w:val="6"/>
  </w:num>
  <w:num w:numId="6" w16cid:durableId="241646650">
    <w:abstractNumId w:val="4"/>
  </w:num>
  <w:num w:numId="7" w16cid:durableId="2001811544">
    <w:abstractNumId w:val="8"/>
  </w:num>
  <w:num w:numId="8" w16cid:durableId="689334840">
    <w:abstractNumId w:val="7"/>
  </w:num>
  <w:num w:numId="9" w16cid:durableId="131802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93"/>
    <w:rsid w:val="00020924"/>
    <w:rsid w:val="00042C49"/>
    <w:rsid w:val="00097FBF"/>
    <w:rsid w:val="002D0DC8"/>
    <w:rsid w:val="002F2FED"/>
    <w:rsid w:val="00383ACC"/>
    <w:rsid w:val="003B3215"/>
    <w:rsid w:val="006326DC"/>
    <w:rsid w:val="00731872"/>
    <w:rsid w:val="00734739"/>
    <w:rsid w:val="00745410"/>
    <w:rsid w:val="00776093"/>
    <w:rsid w:val="007F5592"/>
    <w:rsid w:val="00923ABA"/>
    <w:rsid w:val="009E2FD0"/>
    <w:rsid w:val="00A118B2"/>
    <w:rsid w:val="00BC5A0A"/>
    <w:rsid w:val="00BE08C2"/>
    <w:rsid w:val="00BE5D7E"/>
    <w:rsid w:val="00BE7979"/>
    <w:rsid w:val="00CB79D1"/>
    <w:rsid w:val="00CD4D14"/>
    <w:rsid w:val="00F16D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79D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6</cp:revision>
  <dcterms:created xsi:type="dcterms:W3CDTF">2025-01-16T05:08:00Z</dcterms:created>
  <dcterms:modified xsi:type="dcterms:W3CDTF">2025-03-26T09:55:00Z</dcterms:modified>
</cp:coreProperties>
</file>