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5D" w:rsidRDefault="00772A5D" w:rsidP="00772A5D">
      <w:pPr>
        <w:widowControl w:val="0"/>
        <w:autoSpaceDE w:val="0"/>
        <w:autoSpaceDN w:val="0"/>
        <w:spacing w:before="94" w:after="0" w:line="242" w:lineRule="auto"/>
        <w:ind w:left="6668" w:right="133"/>
        <w:jc w:val="right"/>
        <w:rPr>
          <w:rFonts w:ascii="Times New Roman" w:eastAsia="Times New Roman" w:hAnsi="Times New Roman" w:cs="Times New Roman"/>
          <w:b/>
          <w:sz w:val="23"/>
          <w:lang w:val="kk-KZ"/>
        </w:rPr>
      </w:pPr>
      <w:r w:rsidRPr="000C52AA">
        <w:rPr>
          <w:rFonts w:ascii="Times New Roman" w:eastAsia="Times New Roman" w:hAnsi="Times New Roman" w:cs="Times New Roman"/>
          <w:b/>
          <w:sz w:val="23"/>
        </w:rPr>
        <w:t>Приложение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0C52AA">
        <w:rPr>
          <w:rFonts w:ascii="Times New Roman" w:eastAsia="Times New Roman" w:hAnsi="Times New Roman" w:cs="Times New Roman"/>
          <w:b/>
          <w:sz w:val="23"/>
        </w:rPr>
        <w:t>№</w:t>
      </w:r>
      <w:r>
        <w:rPr>
          <w:rFonts w:ascii="Times New Roman" w:eastAsia="Times New Roman" w:hAnsi="Times New Roman" w:cs="Times New Roman"/>
          <w:b/>
          <w:sz w:val="23"/>
          <w:lang w:val="kk-KZ"/>
        </w:rPr>
        <w:t xml:space="preserve">9 </w:t>
      </w:r>
    </w:p>
    <w:p w:rsidR="00772A5D" w:rsidRPr="00AE239A" w:rsidRDefault="00772A5D" w:rsidP="00772A5D">
      <w:pPr>
        <w:widowControl w:val="0"/>
        <w:autoSpaceDE w:val="0"/>
        <w:autoSpaceDN w:val="0"/>
        <w:spacing w:before="94" w:after="0" w:line="242" w:lineRule="auto"/>
        <w:ind w:right="133"/>
        <w:jc w:val="right"/>
        <w:rPr>
          <w:rFonts w:ascii="Times New Roman" w:eastAsia="Times New Roman" w:hAnsi="Times New Roman" w:cs="Times New Roman"/>
          <w:b/>
          <w:sz w:val="23"/>
          <w:lang w:val="kk-KZ"/>
        </w:rPr>
      </w:pPr>
      <w:r w:rsidRPr="000C52AA">
        <w:rPr>
          <w:rFonts w:ascii="Times New Roman" w:eastAsia="Times New Roman" w:hAnsi="Times New Roman" w:cs="Times New Roman"/>
          <w:sz w:val="23"/>
          <w:lang w:val="kk-KZ"/>
        </w:rPr>
        <w:t>к</w:t>
      </w:r>
      <w:r w:rsidRPr="000C52AA">
        <w:rPr>
          <w:rFonts w:ascii="Times New Roman" w:eastAsia="Times New Roman" w:hAnsi="Times New Roman" w:cs="Times New Roman"/>
          <w:sz w:val="23"/>
        </w:rPr>
        <w:t xml:space="preserve"> договору №_</w:t>
      </w:r>
      <w:r>
        <w:rPr>
          <w:rFonts w:ascii="Times New Roman" w:eastAsia="Times New Roman" w:hAnsi="Times New Roman" w:cs="Times New Roman"/>
          <w:sz w:val="23"/>
        </w:rPr>
        <w:t>_____________________________</w:t>
      </w:r>
      <w:r w:rsidRPr="000C52AA">
        <w:rPr>
          <w:rFonts w:ascii="Times New Roman" w:eastAsia="Times New Roman" w:hAnsi="Times New Roman" w:cs="Times New Roman"/>
          <w:sz w:val="23"/>
        </w:rPr>
        <w:t>_  от ___________  202</w:t>
      </w:r>
      <w:r>
        <w:rPr>
          <w:rFonts w:ascii="Times New Roman" w:eastAsia="Times New Roman" w:hAnsi="Times New Roman" w:cs="Times New Roman"/>
          <w:sz w:val="23"/>
        </w:rPr>
        <w:t>4</w:t>
      </w:r>
      <w:r w:rsidRPr="000C52AA">
        <w:rPr>
          <w:rFonts w:ascii="Times New Roman" w:eastAsia="Times New Roman" w:hAnsi="Times New Roman" w:cs="Times New Roman"/>
          <w:sz w:val="23"/>
        </w:rPr>
        <w:t xml:space="preserve"> года</w:t>
      </w:r>
    </w:p>
    <w:p w:rsidR="000C52AA" w:rsidRPr="00772A5D" w:rsidRDefault="000C52AA" w:rsidP="000C5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kk-KZ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Требования по мерам в области ОТ, ПБ и ООС для раздела</w:t>
      </w: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Технической спецификации</w:t>
      </w: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502C44" w:rsidRDefault="00502C44" w:rsidP="00502C44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502C44" w:rsidRDefault="00502C44" w:rsidP="00502C4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eastAsia="zh-CN"/>
        </w:rPr>
      </w:pPr>
      <w:r w:rsidRPr="0073661C"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eastAsia="zh-CN"/>
        </w:rPr>
        <w:t>Краткое описание условий проведения работ/услуг.</w:t>
      </w:r>
      <w:r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eastAsia="zh-CN"/>
        </w:rPr>
        <w:t xml:space="preserve"> </w:t>
      </w:r>
    </w:p>
    <w:p w:rsidR="00502C44" w:rsidRPr="0073661C" w:rsidRDefault="00502C44" w:rsidP="00502C44">
      <w:pPr>
        <w:pStyle w:val="a3"/>
        <w:tabs>
          <w:tab w:val="left" w:pos="851"/>
        </w:tabs>
        <w:spacing w:after="0" w:line="240" w:lineRule="auto"/>
        <w:ind w:left="480" w:right="29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ab/>
      </w:r>
      <w:r w:rsidRPr="0073661C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 xml:space="preserve">Работы по приготовлению, сопровождению и контролю за буровым раствором при строительстве разведочных (оценочных) скважин </w:t>
      </w:r>
      <w:r w:rsidR="00205588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на месторождениях АО «Эмбамунайгаз»</w:t>
      </w:r>
      <w:r w:rsidRPr="0073661C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.</w:t>
      </w:r>
    </w:p>
    <w:p w:rsidR="00502C44" w:rsidRDefault="00502C44" w:rsidP="00502C44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 </w:t>
      </w:r>
    </w:p>
    <w:p w:rsidR="00502C44" w:rsidRDefault="00502C44" w:rsidP="00502C4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eastAsia="zh-CN"/>
        </w:rPr>
      </w:pPr>
      <w:r w:rsidRPr="0073661C"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eastAsia="zh-CN"/>
        </w:rPr>
        <w:t>Оценка Рисков планируемых работ/услуг.</w:t>
      </w:r>
      <w:r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eastAsia="zh-CN"/>
        </w:rPr>
        <w:t xml:space="preserve"> </w:t>
      </w:r>
    </w:p>
    <w:p w:rsidR="00502C44" w:rsidRDefault="00502C44" w:rsidP="00502C44">
      <w:pPr>
        <w:tabs>
          <w:tab w:val="left" w:pos="851"/>
        </w:tabs>
        <w:spacing w:after="0" w:line="240" w:lineRule="auto"/>
        <w:ind w:left="480"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ab/>
      </w:r>
      <w:r w:rsidRPr="0073661C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 xml:space="preserve">В сфере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 xml:space="preserve">приготовления, </w:t>
      </w:r>
      <w:r w:rsidRPr="0073661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сопровождени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я</w:t>
      </w:r>
      <w:r w:rsidRPr="0073661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и контрол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я</w:t>
      </w:r>
      <w:r w:rsidRPr="0073661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за буровым раствором при строительстве разведочных (оценочных) скважин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:</w:t>
      </w:r>
    </w:p>
    <w:p w:rsidR="00502C44" w:rsidRPr="00640048" w:rsidRDefault="00502C44" w:rsidP="00502C44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i/>
          <w:noProof/>
          <w:szCs w:val="24"/>
          <w:lang w:eastAsia="zh-CN"/>
        </w:rPr>
      </w:pPr>
      <w:r>
        <w:rPr>
          <w:rFonts w:ascii="Times New Roman" w:hAnsi="Times New Roman"/>
          <w:bCs/>
          <w:i/>
          <w:noProof/>
          <w:szCs w:val="24"/>
          <w:lang w:eastAsia="zh-CN"/>
        </w:rPr>
        <w:tab/>
      </w:r>
      <w:r w:rsidRPr="00640048">
        <w:rPr>
          <w:rFonts w:ascii="Times New Roman" w:hAnsi="Times New Roman"/>
          <w:bCs/>
          <w:i/>
          <w:noProof/>
          <w:szCs w:val="24"/>
          <w:lang w:eastAsia="zh-CN"/>
        </w:rPr>
        <w:t>а)  к высокой степени риска относятся:</w:t>
      </w:r>
    </w:p>
    <w:p w:rsidR="00502C44" w:rsidRPr="00640048" w:rsidRDefault="00502C44" w:rsidP="00502C44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i/>
          <w:noProof/>
          <w:szCs w:val="24"/>
          <w:lang w:eastAsia="zh-CN"/>
        </w:rPr>
      </w:pPr>
      <w:r w:rsidRPr="00640048">
        <w:rPr>
          <w:rFonts w:ascii="Times New Roman" w:hAnsi="Times New Roman"/>
          <w:bCs/>
          <w:i/>
          <w:noProof/>
          <w:szCs w:val="24"/>
          <w:lang w:eastAsia="zh-CN"/>
        </w:rPr>
        <w:t>     </w:t>
      </w:r>
      <w:r w:rsidRPr="00640048">
        <w:rPr>
          <w:rFonts w:ascii="Times New Roman" w:hAnsi="Times New Roman"/>
          <w:bCs/>
          <w:i/>
          <w:noProof/>
          <w:szCs w:val="24"/>
          <w:lang w:eastAsia="zh-CN"/>
        </w:rPr>
        <w:tab/>
        <w:t>субъекты, осуществляющие работу на опасном производственном объекте.</w:t>
      </w:r>
      <w:bookmarkStart w:id="0" w:name="_Hlk148434539"/>
      <w:r w:rsidRPr="00640048">
        <w:rPr>
          <w:rFonts w:ascii="Times New Roman" w:hAnsi="Times New Roman"/>
          <w:bCs/>
          <w:i/>
          <w:noProof/>
          <w:szCs w:val="24"/>
          <w:lang w:eastAsia="zh-CN"/>
        </w:rPr>
        <w:t xml:space="preserve"> </w:t>
      </w:r>
    </w:p>
    <w:p w:rsidR="00502C44" w:rsidRPr="00640048" w:rsidRDefault="00502C44" w:rsidP="00502C44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i/>
          <w:noProof/>
          <w:szCs w:val="24"/>
          <w:lang w:eastAsia="zh-CN"/>
        </w:rPr>
      </w:pPr>
      <w:r w:rsidRPr="00640048">
        <w:rPr>
          <w:rFonts w:ascii="Times New Roman" w:hAnsi="Times New Roman"/>
          <w:bCs/>
          <w:i/>
          <w:noProof/>
          <w:szCs w:val="24"/>
          <w:lang w:eastAsia="zh-CN"/>
        </w:rPr>
        <w:tab/>
        <w:t xml:space="preserve">б)  к средней степени риска относятся: </w:t>
      </w:r>
    </w:p>
    <w:p w:rsidR="00502C44" w:rsidRPr="00640048" w:rsidRDefault="00502C44" w:rsidP="00502C44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i/>
          <w:noProof/>
          <w:szCs w:val="24"/>
          <w:lang w:eastAsia="zh-CN"/>
        </w:rPr>
      </w:pPr>
      <w:r w:rsidRPr="00640048">
        <w:rPr>
          <w:rFonts w:ascii="Times New Roman" w:hAnsi="Times New Roman"/>
          <w:bCs/>
          <w:i/>
          <w:noProof/>
          <w:szCs w:val="24"/>
          <w:lang w:eastAsia="zh-CN"/>
        </w:rPr>
        <w:tab/>
        <w:t>субъекты, осуществляющие работу с кислотами и растворами.</w:t>
      </w:r>
      <w:bookmarkEnd w:id="0"/>
      <w:r w:rsidRPr="00640048">
        <w:rPr>
          <w:rFonts w:ascii="Times New Roman" w:hAnsi="Times New Roman"/>
          <w:bCs/>
          <w:i/>
          <w:noProof/>
          <w:szCs w:val="24"/>
          <w:lang w:eastAsia="zh-CN"/>
        </w:rPr>
        <w:t xml:space="preserve"> </w:t>
      </w:r>
    </w:p>
    <w:p w:rsidR="00502C44" w:rsidRPr="00640048" w:rsidRDefault="00502C44" w:rsidP="00502C44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i/>
          <w:noProof/>
          <w:szCs w:val="24"/>
          <w:lang w:eastAsia="zh-CN"/>
        </w:rPr>
      </w:pPr>
      <w:r w:rsidRPr="00640048">
        <w:rPr>
          <w:rFonts w:ascii="Times New Roman" w:hAnsi="Times New Roman"/>
          <w:bCs/>
          <w:i/>
          <w:noProof/>
          <w:szCs w:val="24"/>
          <w:lang w:eastAsia="zh-CN"/>
        </w:rPr>
        <w:tab/>
        <w:t xml:space="preserve">в) к незначительной степени риска относятся: </w:t>
      </w:r>
    </w:p>
    <w:p w:rsidR="00502C44" w:rsidRPr="00640048" w:rsidRDefault="00502C44" w:rsidP="00502C44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i/>
          <w:noProof/>
          <w:szCs w:val="24"/>
          <w:lang w:eastAsia="zh-CN"/>
        </w:rPr>
      </w:pPr>
      <w:r w:rsidRPr="00640048">
        <w:rPr>
          <w:rFonts w:ascii="Times New Roman" w:hAnsi="Times New Roman"/>
          <w:bCs/>
          <w:i/>
          <w:noProof/>
          <w:szCs w:val="24"/>
          <w:lang w:eastAsia="zh-CN"/>
        </w:rPr>
        <w:tab/>
        <w:t>субъекты, осуществляющие перевозку иных грузов.</w:t>
      </w:r>
    </w:p>
    <w:tbl>
      <w:tblPr>
        <w:tblpPr w:leftFromText="180" w:rightFromText="180" w:bottomFromText="160" w:vertAnchor="text" w:horzAnchor="margin" w:tblpY="16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268"/>
        <w:gridCol w:w="2977"/>
      </w:tblGrid>
      <w:tr w:rsidR="00502C44" w:rsidTr="005877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44" w:rsidRDefault="00502C44" w:rsidP="00954FB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44" w:rsidRDefault="00502C44" w:rsidP="00954FB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44" w:rsidRDefault="00502C44" w:rsidP="00954FB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502C44" w:rsidRDefault="00502C44" w:rsidP="00954FB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502C44" w:rsidTr="005877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44" w:rsidRPr="005877AE" w:rsidRDefault="009A1EF9" w:rsidP="00954FB1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5877A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>О</w:t>
            </w:r>
            <w:r w:rsidR="00502C44" w:rsidRPr="005877A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>тсутствие и несоответствие квалифицированного персонала по подготовке,  сопровождению и контролю за буровым раствором при строительстве разведочных (оценочных) скважин  на месторождениях.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44" w:rsidRPr="00166515" w:rsidRDefault="00DB13C1" w:rsidP="00954FB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16651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>Средняя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44" w:rsidRDefault="00502C44" w:rsidP="00954FB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</w:p>
        </w:tc>
      </w:tr>
      <w:tr w:rsidR="00DB13C1" w:rsidTr="005877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C1" w:rsidRPr="005877AE" w:rsidRDefault="00DB13C1" w:rsidP="00DB6A1E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5877A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>Отсутствие контроля в процессе бурения параметр</w:t>
            </w:r>
            <w:r w:rsidR="00DB6A1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>ов</w:t>
            </w:r>
            <w:r w:rsidRPr="005877A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 xml:space="preserve"> расхода бурового раствора на входе и выходе из скважины, уровень раствора в приемных емкостях при бурении и</w:t>
            </w:r>
            <w:r w:rsidR="00D91E7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 xml:space="preserve"> на устье скважины при простое,</w:t>
            </w:r>
            <w:r w:rsidRPr="005877A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 xml:space="preserve"> СПО и показания концентрации газов в буровом растворе.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C1" w:rsidRPr="00166515" w:rsidRDefault="00DB13C1" w:rsidP="00DB13C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16651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>Средняя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C1" w:rsidRDefault="00DB13C1" w:rsidP="00DB13C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</w:p>
        </w:tc>
      </w:tr>
      <w:tr w:rsidR="00DB13C1" w:rsidTr="005877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1" w:rsidRPr="005877AE" w:rsidRDefault="00DB13C1" w:rsidP="00DB13C1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5877A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>Отсутствие контроля за рецептурой и методикой приготовления, обработки, утяжеления и очистки бурового раствора специалистами авторского надзора за строительством скважин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C1" w:rsidRPr="00166515" w:rsidRDefault="00DB13C1" w:rsidP="00DB13C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16651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>Средняя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1" w:rsidRDefault="00DB13C1" w:rsidP="00DB13C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DB13C1" w:rsidTr="005877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1" w:rsidRPr="005877AE" w:rsidRDefault="00DB13C1" w:rsidP="00DB13C1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5877A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Отсутствие соблюдения периодичности контроля бурового </w:t>
            </w:r>
            <w:r w:rsidRPr="005877A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lastRenderedPageBreak/>
              <w:t>раствора в процессе бурения и промывки скважины параметры (свойства), с записью параметров бурового раствора в журнале.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C1" w:rsidRPr="00166515" w:rsidRDefault="00DB13C1" w:rsidP="00DB13C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16651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1" w:rsidRDefault="00DB13C1" w:rsidP="00DB13C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DB13C1" w:rsidTr="005877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1" w:rsidRPr="005877AE" w:rsidRDefault="00DB13C1" w:rsidP="00DB13C1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5877A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>Отсутствие обучения с последующей проверкой знании по промышленной безопасности согласно требованиям  «Правил подготовки, переподготовки и проверки знаний специалистов, работников в области промышленной безопасности» утвержденные Приказом Министра по чрезвычайным ситуациям Республики Казахстан от 9 июля 2021 года № 332.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C1" w:rsidRPr="00166515" w:rsidRDefault="00DB13C1" w:rsidP="00DB13C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16651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>Средняя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1" w:rsidRDefault="00DB13C1" w:rsidP="00DB13C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DB13C1" w:rsidTr="005877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1" w:rsidRPr="005877AE" w:rsidRDefault="00DB13C1" w:rsidP="00DB13C1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5877A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>Не соблюдение выполнения мероприятии по предупреждению аварий и инцидентов перед вскрытием продуктивного горизонта или пластов с возможными флюидопроявлениями согласно пункту 996 Правил обеспечения промышленной безопасности для опасных производственных объектов нефтяной и газовой отраслей промышленности.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C1" w:rsidRPr="00166515" w:rsidRDefault="00DB13C1" w:rsidP="00DB13C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16651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zh-CN"/>
              </w:rPr>
              <w:t>Средняя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1" w:rsidRDefault="00DB13C1" w:rsidP="00DB13C1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502C44" w:rsidRDefault="00502C44" w:rsidP="00502C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02C44" w:rsidRPr="00E23C32" w:rsidRDefault="00502C44" w:rsidP="00502C4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eastAsia="zh-CN"/>
        </w:rPr>
      </w:pPr>
      <w:r w:rsidRPr="00E23C32"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eastAsia="zh-CN"/>
        </w:rPr>
        <w:t>Ключевые требования к оборудованию, транспорту, технике, имуществу.</w:t>
      </w:r>
    </w:p>
    <w:p w:rsidR="00502C44" w:rsidRDefault="00502C44" w:rsidP="00502C44">
      <w:pPr>
        <w:tabs>
          <w:tab w:val="left" w:pos="851"/>
        </w:tabs>
        <w:spacing w:after="0" w:line="240" w:lineRule="auto"/>
        <w:ind w:right="29" w:firstLine="567"/>
        <w:jc w:val="center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502C44" w:rsidRPr="00E23C32" w:rsidRDefault="00502C44" w:rsidP="00502C4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eastAsia="zh-CN"/>
        </w:rPr>
      </w:pPr>
      <w:r w:rsidRPr="00E23C32"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eastAsia="zh-CN"/>
        </w:rPr>
        <w:t>Ключевые требования к Работникам Подрядчика.</w:t>
      </w:r>
    </w:p>
    <w:p w:rsidR="00502C44" w:rsidRDefault="00502C44" w:rsidP="00502C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877AE" w:rsidRDefault="005877AE" w:rsidP="00502C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877AE" w:rsidRDefault="005877AE" w:rsidP="00502C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1"/>
        <w:gridCol w:w="878"/>
        <w:gridCol w:w="4016"/>
      </w:tblGrid>
      <w:tr w:rsidR="005877AE" w:rsidRPr="002A3F62" w:rsidTr="00954FB1">
        <w:tc>
          <w:tcPr>
            <w:tcW w:w="4875" w:type="dxa"/>
            <w:shd w:val="clear" w:color="auto" w:fill="auto"/>
          </w:tcPr>
          <w:p w:rsidR="005877AE" w:rsidRDefault="005877AE" w:rsidP="00954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A3F6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АКАЗЧИК»</w:t>
            </w:r>
          </w:p>
          <w:p w:rsidR="005877AE" w:rsidRDefault="005877AE" w:rsidP="00954F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77AE" w:rsidRDefault="005877AE" w:rsidP="00954FB1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550D87">
              <w:rPr>
                <w:rFonts w:ascii="Times New Roman" w:hAnsi="Times New Roman"/>
                <w:b/>
              </w:rPr>
              <w:t xml:space="preserve">Заместитель генерального директора </w:t>
            </w:r>
          </w:p>
          <w:p w:rsidR="005877AE" w:rsidRDefault="005877AE" w:rsidP="00954FB1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550D87">
              <w:rPr>
                <w:rFonts w:ascii="Times New Roman" w:hAnsi="Times New Roman"/>
                <w:b/>
              </w:rPr>
              <w:t xml:space="preserve">по геологии и разработке </w:t>
            </w:r>
          </w:p>
          <w:p w:rsidR="005877AE" w:rsidRPr="00891C27" w:rsidRDefault="005877AE" w:rsidP="00954FB1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550D87">
              <w:rPr>
                <w:rFonts w:ascii="Times New Roman" w:hAnsi="Times New Roman"/>
                <w:b/>
              </w:rPr>
              <w:t>АО «</w:t>
            </w:r>
            <w:proofErr w:type="spellStart"/>
            <w:r w:rsidRPr="00550D87">
              <w:rPr>
                <w:rFonts w:ascii="Times New Roman" w:hAnsi="Times New Roman"/>
                <w:b/>
              </w:rPr>
              <w:t>Эмбамунайгаз</w:t>
            </w:r>
            <w:proofErr w:type="spellEnd"/>
            <w:r w:rsidRPr="00550D87">
              <w:rPr>
                <w:rFonts w:ascii="Times New Roman" w:hAnsi="Times New Roman"/>
                <w:b/>
              </w:rPr>
              <w:t>»</w:t>
            </w:r>
          </w:p>
          <w:p w:rsidR="005877AE" w:rsidRPr="00891C27" w:rsidRDefault="005877AE" w:rsidP="00954FB1">
            <w:pPr>
              <w:pStyle w:val="a5"/>
              <w:jc w:val="right"/>
              <w:rPr>
                <w:rFonts w:ascii="Times New Roman" w:hAnsi="Times New Roman"/>
                <w:b/>
              </w:rPr>
            </w:pPr>
          </w:p>
          <w:p w:rsidR="005877AE" w:rsidRPr="002A3F62" w:rsidRDefault="005877AE" w:rsidP="00954F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1C27">
              <w:rPr>
                <w:rFonts w:ascii="Times New Roman" w:hAnsi="Times New Roman"/>
                <w:b/>
              </w:rPr>
              <w:t xml:space="preserve"> </w:t>
            </w:r>
            <w:r w:rsidRPr="00891C27">
              <w:rPr>
                <w:rFonts w:ascii="Times New Roman" w:hAnsi="Times New Roman"/>
                <w:b/>
                <w:noProof/>
              </w:rPr>
              <w:t>_________________</w:t>
            </w:r>
            <w:r w:rsidRPr="00891C27">
              <w:rPr>
                <w:rFonts w:ascii="Times New Roman" w:hAnsi="Times New Roman"/>
                <w:b/>
              </w:rPr>
              <w:t xml:space="preserve"> </w:t>
            </w:r>
            <w:r w:rsidRPr="00550D87">
              <w:rPr>
                <w:rFonts w:ascii="Times New Roman" w:hAnsi="Times New Roman"/>
                <w:b/>
              </w:rPr>
              <w:t xml:space="preserve">Қ. </w:t>
            </w:r>
            <w:proofErr w:type="spellStart"/>
            <w:r w:rsidRPr="00550D87">
              <w:rPr>
                <w:rFonts w:ascii="Times New Roman" w:hAnsi="Times New Roman"/>
                <w:b/>
              </w:rPr>
              <w:t>Көзов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877AE" w:rsidRPr="002A3F62" w:rsidRDefault="005877AE" w:rsidP="00954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5877AE" w:rsidRPr="002A3F62" w:rsidRDefault="005877AE" w:rsidP="00587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A3F62">
              <w:rPr>
                <w:rFonts w:ascii="Times New Roman" w:hAnsi="Times New Roman"/>
                <w:b/>
                <w:sz w:val="24"/>
                <w:szCs w:val="24"/>
              </w:rPr>
              <w:t>ПОДРЯДЧИК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502C44" w:rsidRDefault="00502C44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02C44" w:rsidRDefault="00502C44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02C44" w:rsidRDefault="00502C44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02C44" w:rsidRDefault="00502C44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02C44" w:rsidRDefault="00502C44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02C44" w:rsidRDefault="00502C44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02C44" w:rsidRDefault="00502C44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02C44" w:rsidRDefault="00502C44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02C44" w:rsidRDefault="00502C44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02C44" w:rsidRDefault="00502C44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02C44" w:rsidRDefault="00502C44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02C44" w:rsidRDefault="00502C44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02C44" w:rsidRDefault="00502C44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C52AA" w:rsidRPr="000C52AA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sz w:val="24"/>
          <w:lang w:val="kk-KZ"/>
        </w:rPr>
      </w:pPr>
      <w:bookmarkStart w:id="1" w:name="_GoBack"/>
      <w:r w:rsidRPr="00502C44">
        <w:rPr>
          <w:rFonts w:ascii="Times New Roman" w:eastAsia="Times New Roman" w:hAnsi="Times New Roman" w:cs="Times New Roman"/>
          <w:sz w:val="24"/>
          <w:lang w:val="kk-KZ"/>
        </w:rPr>
        <w:lastRenderedPageBreak/>
        <w:t>«__» ________ 202</w:t>
      </w:r>
      <w:r w:rsidR="0007637F">
        <w:rPr>
          <w:rFonts w:ascii="Times New Roman" w:eastAsia="Times New Roman" w:hAnsi="Times New Roman" w:cs="Times New Roman"/>
          <w:sz w:val="24"/>
          <w:lang w:val="kk-KZ"/>
        </w:rPr>
        <w:t>4</w:t>
      </w:r>
      <w:r w:rsidRPr="00502C44">
        <w:rPr>
          <w:rFonts w:ascii="Times New Roman" w:eastAsia="Times New Roman" w:hAnsi="Times New Roman" w:cs="Times New Roman"/>
          <w:sz w:val="24"/>
          <w:lang w:val="kk-KZ"/>
        </w:rPr>
        <w:t xml:space="preserve"> жыл</w:t>
      </w:r>
      <w:r w:rsidRPr="000C52AA">
        <w:rPr>
          <w:rFonts w:ascii="Times New Roman" w:eastAsia="Times New Roman" w:hAnsi="Times New Roman" w:cs="Times New Roman"/>
          <w:sz w:val="24"/>
          <w:lang w:val="kk-KZ"/>
        </w:rPr>
        <w:t>ғы</w:t>
      </w:r>
      <w:r w:rsidRPr="00502C44">
        <w:rPr>
          <w:rFonts w:ascii="Times New Roman" w:eastAsia="Times New Roman" w:hAnsi="Times New Roman" w:cs="Times New Roman"/>
          <w:sz w:val="24"/>
          <w:lang w:val="kk-KZ"/>
        </w:rPr>
        <w:t xml:space="preserve"> №_</w:t>
      </w:r>
      <w:r w:rsidR="00772A5D">
        <w:rPr>
          <w:rFonts w:ascii="Times New Roman" w:eastAsia="Times New Roman" w:hAnsi="Times New Roman" w:cs="Times New Roman"/>
          <w:sz w:val="24"/>
          <w:lang w:val="kk-KZ"/>
        </w:rPr>
        <w:t>______________________________</w:t>
      </w:r>
      <w:r w:rsidRPr="00502C44">
        <w:rPr>
          <w:rFonts w:ascii="Times New Roman" w:eastAsia="Times New Roman" w:hAnsi="Times New Roman" w:cs="Times New Roman"/>
          <w:sz w:val="24"/>
          <w:lang w:val="kk-KZ"/>
        </w:rPr>
        <w:t>_ шар</w:t>
      </w:r>
      <w:r w:rsidRPr="000C52AA">
        <w:rPr>
          <w:rFonts w:ascii="Times New Roman" w:eastAsia="Times New Roman" w:hAnsi="Times New Roman" w:cs="Times New Roman"/>
          <w:sz w:val="24"/>
          <w:lang w:val="kk-KZ"/>
        </w:rPr>
        <w:t xml:space="preserve">тқа </w:t>
      </w:r>
    </w:p>
    <w:p w:rsidR="000C52AA" w:rsidRPr="00502C44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502C44">
        <w:rPr>
          <w:rFonts w:ascii="Times New Roman" w:eastAsia="Times New Roman" w:hAnsi="Times New Roman" w:cs="Times New Roman"/>
          <w:b/>
          <w:sz w:val="24"/>
          <w:lang w:val="kk-KZ"/>
        </w:rPr>
        <w:t>№9</w:t>
      </w:r>
      <w:r w:rsidRPr="00502C44">
        <w:rPr>
          <w:rFonts w:ascii="Times New Roman" w:eastAsia="Times New Roman" w:hAnsi="Times New Roman" w:cs="Times New Roman"/>
          <w:b/>
          <w:spacing w:val="-7"/>
          <w:sz w:val="24"/>
          <w:lang w:val="kk-KZ"/>
        </w:rPr>
        <w:t xml:space="preserve"> </w:t>
      </w:r>
      <w:r w:rsidRPr="00502C44">
        <w:rPr>
          <w:rFonts w:ascii="Times New Roman" w:eastAsia="Times New Roman" w:hAnsi="Times New Roman" w:cs="Times New Roman"/>
          <w:b/>
          <w:sz w:val="24"/>
          <w:lang w:val="kk-KZ"/>
        </w:rPr>
        <w:t>қосымша</w:t>
      </w:r>
    </w:p>
    <w:p w:rsidR="00357F7C" w:rsidRDefault="00357F7C" w:rsidP="000C5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</w:t>
      </w:r>
      <w:r w:rsidRPr="002C065D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ЕҚ, ӨҚ және ҚОҚ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205588" w:rsidRDefault="00357F7C" w:rsidP="0020558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right="28" w:hanging="426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val="kk-KZ" w:eastAsia="zh-CN"/>
        </w:rPr>
      </w:pPr>
      <w:r w:rsidRPr="00205588"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val="kk-KZ" w:eastAsia="zh-CN"/>
        </w:rPr>
        <w:t>Жұмыстарды орындау/қызметтерді көрсету шарттарының қысқаша сипаттамасы</w:t>
      </w:r>
    </w:p>
    <w:p w:rsidR="00205588" w:rsidRPr="0007637F" w:rsidRDefault="00205588" w:rsidP="00205588">
      <w:pPr>
        <w:pStyle w:val="a3"/>
        <w:tabs>
          <w:tab w:val="left" w:pos="851"/>
        </w:tabs>
        <w:spacing w:after="0" w:line="240" w:lineRule="auto"/>
        <w:ind w:left="480" w:right="29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CD1D5C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ab/>
      </w:r>
      <w:r w:rsidR="00CD1D5C" w:rsidRPr="0007637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«Эмбамунайгаз» АҚ кен орындарындағы барлау (бағалау) ұңғымаларының құрылысын салу кезінде бұрғылау ерітіндісін дайындау, қызмет көрсету және бақылау бойынша жұмыстар</w:t>
      </w:r>
      <w:r w:rsidRPr="0007637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5588" w:rsidRPr="0007637F" w:rsidRDefault="00205588" w:rsidP="00205588">
      <w:pPr>
        <w:pStyle w:val="a3"/>
        <w:tabs>
          <w:tab w:val="left" w:pos="851"/>
        </w:tabs>
        <w:spacing w:after="0" w:line="240" w:lineRule="auto"/>
        <w:ind w:left="480" w:right="29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357F7C" w:rsidRDefault="00357F7C" w:rsidP="0020558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right="28" w:hanging="426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val="kk-KZ" w:eastAsia="zh-CN"/>
        </w:rPr>
      </w:pPr>
      <w:r w:rsidRPr="00205588"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val="kk-KZ" w:eastAsia="zh-CN"/>
        </w:rPr>
        <w:t>Жоспарланған жұмыстардың/қызметтердің Тәуекелдерін бағалау</w:t>
      </w:r>
    </w:p>
    <w:p w:rsidR="00205588" w:rsidRDefault="00CD1D5C" w:rsidP="00205588">
      <w:pPr>
        <w:pStyle w:val="a3"/>
        <w:tabs>
          <w:tab w:val="left" w:pos="851"/>
        </w:tabs>
        <w:spacing w:after="0" w:line="240" w:lineRule="auto"/>
        <w:ind w:left="426"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ab/>
        <w:t>К</w:t>
      </w:r>
      <w:r w:rsidRPr="00CD1D5C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ен орындарындағы барлау (бағалау) ұңғымаларының құрылысын салу кезінде бұрғылау ерітіндісін дайындау, қызмет көрсету және бақылау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саласында.</w:t>
      </w:r>
    </w:p>
    <w:p w:rsidR="00CD1D5C" w:rsidRPr="0007637F" w:rsidRDefault="00CD1D5C" w:rsidP="00CD1D5C">
      <w:pPr>
        <w:tabs>
          <w:tab w:val="left" w:pos="851"/>
        </w:tabs>
        <w:spacing w:after="0" w:line="240" w:lineRule="auto"/>
        <w:ind w:left="709" w:right="29"/>
        <w:outlineLvl w:val="2"/>
        <w:rPr>
          <w:rFonts w:ascii="Times New Roman" w:hAnsi="Times New Roman"/>
          <w:bCs/>
          <w:i/>
          <w:noProof/>
          <w:szCs w:val="24"/>
          <w:lang w:val="kk-KZ" w:eastAsia="zh-CN"/>
        </w:rPr>
      </w:pPr>
      <w:r w:rsidRPr="0007637F">
        <w:rPr>
          <w:rFonts w:ascii="Times New Roman" w:hAnsi="Times New Roman"/>
          <w:bCs/>
          <w:i/>
          <w:noProof/>
          <w:szCs w:val="24"/>
          <w:lang w:val="kk-KZ" w:eastAsia="zh-CN"/>
        </w:rPr>
        <w:t>а) тәуекелдің жоғары дәрежесіне мыналар жатады:</w:t>
      </w:r>
    </w:p>
    <w:p w:rsidR="00CD1D5C" w:rsidRPr="0007637F" w:rsidRDefault="00CD1D5C" w:rsidP="00CD1D5C">
      <w:pPr>
        <w:tabs>
          <w:tab w:val="left" w:pos="851"/>
        </w:tabs>
        <w:spacing w:after="0" w:line="240" w:lineRule="auto"/>
        <w:ind w:left="709" w:right="29"/>
        <w:outlineLvl w:val="2"/>
        <w:rPr>
          <w:rFonts w:ascii="Times New Roman" w:hAnsi="Times New Roman"/>
          <w:bCs/>
          <w:i/>
          <w:noProof/>
          <w:szCs w:val="24"/>
          <w:lang w:val="kk-KZ" w:eastAsia="zh-CN"/>
        </w:rPr>
      </w:pPr>
      <w:r w:rsidRPr="0007637F">
        <w:rPr>
          <w:rFonts w:ascii="Times New Roman" w:hAnsi="Times New Roman"/>
          <w:bCs/>
          <w:i/>
          <w:noProof/>
          <w:szCs w:val="24"/>
          <w:lang w:val="kk-KZ" w:eastAsia="zh-CN"/>
        </w:rPr>
        <w:t>қауіпті өндірістік объектіде жұмысты жүзеге асыратын субъектілер.</w:t>
      </w:r>
    </w:p>
    <w:p w:rsidR="00CD1D5C" w:rsidRPr="0007637F" w:rsidRDefault="00CD1D5C" w:rsidP="00CD1D5C">
      <w:pPr>
        <w:tabs>
          <w:tab w:val="left" w:pos="851"/>
        </w:tabs>
        <w:spacing w:after="0" w:line="240" w:lineRule="auto"/>
        <w:ind w:left="709" w:right="29"/>
        <w:outlineLvl w:val="2"/>
        <w:rPr>
          <w:rFonts w:ascii="Times New Roman" w:hAnsi="Times New Roman"/>
          <w:bCs/>
          <w:i/>
          <w:noProof/>
          <w:szCs w:val="24"/>
          <w:lang w:val="kk-KZ" w:eastAsia="zh-CN"/>
        </w:rPr>
      </w:pPr>
      <w:r w:rsidRPr="0007637F">
        <w:rPr>
          <w:rFonts w:ascii="Times New Roman" w:hAnsi="Times New Roman"/>
          <w:bCs/>
          <w:i/>
          <w:noProof/>
          <w:szCs w:val="24"/>
          <w:lang w:val="kk-KZ" w:eastAsia="zh-CN"/>
        </w:rPr>
        <w:t>б) тәуекелдің орташа дәрежесіне мыналар жатады:</w:t>
      </w:r>
    </w:p>
    <w:p w:rsidR="00CD1D5C" w:rsidRPr="0007637F" w:rsidRDefault="00CD1D5C" w:rsidP="00CD1D5C">
      <w:pPr>
        <w:tabs>
          <w:tab w:val="left" w:pos="851"/>
        </w:tabs>
        <w:spacing w:after="0" w:line="240" w:lineRule="auto"/>
        <w:ind w:left="709" w:right="29"/>
        <w:outlineLvl w:val="2"/>
        <w:rPr>
          <w:rFonts w:ascii="Times New Roman" w:hAnsi="Times New Roman"/>
          <w:bCs/>
          <w:i/>
          <w:noProof/>
          <w:szCs w:val="24"/>
          <w:lang w:val="kk-KZ" w:eastAsia="zh-CN"/>
        </w:rPr>
      </w:pPr>
      <w:r w:rsidRPr="0007637F">
        <w:rPr>
          <w:rFonts w:ascii="Times New Roman" w:hAnsi="Times New Roman"/>
          <w:bCs/>
          <w:i/>
          <w:noProof/>
          <w:szCs w:val="24"/>
          <w:lang w:val="kk-KZ" w:eastAsia="zh-CN"/>
        </w:rPr>
        <w:t>қышқылдармен және ерітінділермен жұмыс жасайтын субъектілер.</w:t>
      </w:r>
    </w:p>
    <w:p w:rsidR="00CD1D5C" w:rsidRPr="00CD1D5C" w:rsidRDefault="00CD1D5C" w:rsidP="00CD1D5C">
      <w:pPr>
        <w:tabs>
          <w:tab w:val="left" w:pos="851"/>
        </w:tabs>
        <w:spacing w:after="0" w:line="240" w:lineRule="auto"/>
        <w:ind w:left="709" w:right="29"/>
        <w:outlineLvl w:val="2"/>
        <w:rPr>
          <w:rFonts w:ascii="Times New Roman" w:hAnsi="Times New Roman"/>
          <w:bCs/>
          <w:i/>
          <w:noProof/>
          <w:szCs w:val="24"/>
          <w:lang w:eastAsia="zh-CN"/>
        </w:rPr>
      </w:pPr>
      <w:r w:rsidRPr="00CD1D5C">
        <w:rPr>
          <w:rFonts w:ascii="Times New Roman" w:hAnsi="Times New Roman"/>
          <w:bCs/>
          <w:i/>
          <w:noProof/>
          <w:szCs w:val="24"/>
          <w:lang w:eastAsia="zh-CN"/>
        </w:rPr>
        <w:t>в) тәуекелдің шамалы дәрежесіне мыналар жатады:</w:t>
      </w:r>
    </w:p>
    <w:p w:rsidR="00CD1D5C" w:rsidRPr="00CD1D5C" w:rsidRDefault="00CD1D5C" w:rsidP="00CD1D5C">
      <w:pPr>
        <w:tabs>
          <w:tab w:val="left" w:pos="851"/>
        </w:tabs>
        <w:spacing w:after="0" w:line="240" w:lineRule="auto"/>
        <w:ind w:left="709" w:right="29"/>
        <w:outlineLvl w:val="2"/>
        <w:rPr>
          <w:rFonts w:ascii="Times New Roman" w:hAnsi="Times New Roman"/>
          <w:bCs/>
          <w:i/>
          <w:noProof/>
          <w:szCs w:val="24"/>
          <w:lang w:eastAsia="zh-CN"/>
        </w:rPr>
      </w:pPr>
      <w:r w:rsidRPr="00CD1D5C">
        <w:rPr>
          <w:rFonts w:ascii="Times New Roman" w:hAnsi="Times New Roman"/>
          <w:bCs/>
          <w:i/>
          <w:noProof/>
          <w:szCs w:val="24"/>
          <w:lang w:eastAsia="zh-CN"/>
        </w:rPr>
        <w:t>өзге жүктерді тасымалдауды жүзеге асыратын субъектілер.</w:t>
      </w:r>
    </w:p>
    <w:p w:rsidR="00CD1D5C" w:rsidRDefault="00CD1D5C" w:rsidP="00205588">
      <w:pPr>
        <w:pStyle w:val="a3"/>
        <w:tabs>
          <w:tab w:val="left" w:pos="851"/>
        </w:tabs>
        <w:spacing w:after="0" w:line="240" w:lineRule="auto"/>
        <w:ind w:left="426"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4253"/>
        <w:gridCol w:w="2124"/>
        <w:gridCol w:w="3121"/>
      </w:tblGrid>
      <w:tr w:rsidR="00CD1D5C" w:rsidRPr="00772A5D" w:rsidTr="00CD1D5C">
        <w:tc>
          <w:tcPr>
            <w:tcW w:w="4253" w:type="dxa"/>
            <w:vAlign w:val="center"/>
          </w:tcPr>
          <w:p w:rsidR="00CD1D5C" w:rsidRDefault="00CD1D5C" w:rsidP="00CD1D5C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center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және(немесе) Зиянды өндірістік</w:t>
            </w:r>
            <w:r w:rsidRPr="00794761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</w:p>
        </w:tc>
        <w:tc>
          <w:tcPr>
            <w:tcW w:w="2124" w:type="dxa"/>
            <w:vAlign w:val="center"/>
          </w:tcPr>
          <w:p w:rsidR="00CD1D5C" w:rsidRDefault="00CD1D5C" w:rsidP="00CD1D5C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center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және(немесе) өндірістік</w:t>
            </w:r>
            <w:r w:rsidRPr="008653F2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деңгейі</w:t>
            </w:r>
          </w:p>
        </w:tc>
        <w:tc>
          <w:tcPr>
            <w:tcW w:w="3121" w:type="dxa"/>
            <w:vAlign w:val="center"/>
          </w:tcPr>
          <w:p w:rsidR="00CD1D5C" w:rsidRDefault="00CD1D5C" w:rsidP="00CD1D5C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center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және(немесе) Зиянды өндірістік</w:t>
            </w:r>
            <w:r w:rsidRPr="00892C69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дың алдын алу және азайту шаралары</w:t>
            </w:r>
          </w:p>
        </w:tc>
      </w:tr>
      <w:tr w:rsidR="00CD1D5C" w:rsidTr="00CD1D5C">
        <w:tc>
          <w:tcPr>
            <w:tcW w:w="4253" w:type="dxa"/>
          </w:tcPr>
          <w:p w:rsidR="00CD1D5C" w:rsidRDefault="00D91E78" w:rsidP="00205588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К</w:t>
            </w:r>
            <w:r w:rsidRPr="00CD1D5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ен орындарындағы барлау (бағалау) ұңғымаларының құрылысын салу кезінде бұрғылау ерітіндісін дайындау, қызмет көрсету және бақылау </w:t>
            </w:r>
            <w:r w:rsidR="00CD1D5C" w:rsidRPr="00CD1D5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жөніндегі білікті персоналдың болмауы және сәйкес келмеуі.</w:t>
            </w:r>
          </w:p>
        </w:tc>
        <w:tc>
          <w:tcPr>
            <w:tcW w:w="2124" w:type="dxa"/>
            <w:vAlign w:val="center"/>
          </w:tcPr>
          <w:p w:rsidR="00CD1D5C" w:rsidRDefault="00CD1D5C" w:rsidP="00CD1D5C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center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CD1D5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Орташа</w:t>
            </w:r>
          </w:p>
        </w:tc>
        <w:tc>
          <w:tcPr>
            <w:tcW w:w="3121" w:type="dxa"/>
          </w:tcPr>
          <w:p w:rsidR="00CD1D5C" w:rsidRDefault="00CD1D5C" w:rsidP="00205588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CD1D5C" w:rsidTr="00CD1D5C">
        <w:tc>
          <w:tcPr>
            <w:tcW w:w="4253" w:type="dxa"/>
          </w:tcPr>
          <w:p w:rsidR="00CD1D5C" w:rsidRDefault="00DB6A1E" w:rsidP="00DB6A1E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DB6A1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Бұрғылау процесінде ұңғыманың кірісі мен шығысындағы бұрғылау ерітіндісінің шығыс параметрлерін, бұрғылау кезінде қабылдау ыдыстарындағы және ұңғыманың сағасындағы ерітінді деңгейін тоқта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п жұмыс жасамаған кезі</w:t>
            </w:r>
            <w:r w:rsidRPr="00DB6A1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, түсіру және көтеру операциялары кезінде бақылаудың болмауы және бұрғылау ерітіндісіндегі газ концентрациясының көрсеткішт</w:t>
            </w:r>
          </w:p>
        </w:tc>
        <w:tc>
          <w:tcPr>
            <w:tcW w:w="2124" w:type="dxa"/>
            <w:vAlign w:val="center"/>
          </w:tcPr>
          <w:p w:rsidR="00CD1D5C" w:rsidRDefault="00CD1D5C" w:rsidP="00CD1D5C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center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CD1D5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Орташа</w:t>
            </w:r>
          </w:p>
        </w:tc>
        <w:tc>
          <w:tcPr>
            <w:tcW w:w="3121" w:type="dxa"/>
          </w:tcPr>
          <w:p w:rsidR="00CD1D5C" w:rsidRDefault="00CD1D5C" w:rsidP="00205588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CD1D5C" w:rsidTr="00CD1D5C">
        <w:tc>
          <w:tcPr>
            <w:tcW w:w="4253" w:type="dxa"/>
          </w:tcPr>
          <w:p w:rsidR="00CD1D5C" w:rsidRDefault="00DB6A1E" w:rsidP="00205588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DB6A1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Ұңғымалардың құрылысын авторлық қадағалау мамандарының бұрғылау ерітіндісін дайындаудың, өңдеудің, ауырлатудың және тазартудың рецептурасы мен әдістемесін бақылаудың болмауы</w:t>
            </w:r>
          </w:p>
        </w:tc>
        <w:tc>
          <w:tcPr>
            <w:tcW w:w="2124" w:type="dxa"/>
            <w:vAlign w:val="center"/>
          </w:tcPr>
          <w:p w:rsidR="00CD1D5C" w:rsidRDefault="00CD1D5C" w:rsidP="00CD1D5C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center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CD1D5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Орташа</w:t>
            </w:r>
          </w:p>
        </w:tc>
        <w:tc>
          <w:tcPr>
            <w:tcW w:w="3121" w:type="dxa"/>
          </w:tcPr>
          <w:p w:rsidR="00CD1D5C" w:rsidRDefault="00CD1D5C" w:rsidP="00205588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CD1D5C" w:rsidTr="00CD1D5C">
        <w:tc>
          <w:tcPr>
            <w:tcW w:w="4253" w:type="dxa"/>
          </w:tcPr>
          <w:p w:rsidR="00CD1D5C" w:rsidRDefault="00DB6A1E" w:rsidP="00205588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DB6A1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Бұрғылау ерітіндісінің параметрлерін журналға жаза отырып, ұңғыманы </w:t>
            </w:r>
            <w:r w:rsidRPr="00DB6A1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lastRenderedPageBreak/>
              <w:t>бұрғылау және жуу процесінде бұрғылау ерітіндісін бақылау кезеңділігінің сақталмауы параметрлері (қасиеттері).</w:t>
            </w:r>
          </w:p>
        </w:tc>
        <w:tc>
          <w:tcPr>
            <w:tcW w:w="2124" w:type="dxa"/>
            <w:vAlign w:val="center"/>
          </w:tcPr>
          <w:p w:rsidR="00CD1D5C" w:rsidRDefault="00CD1D5C" w:rsidP="00CD1D5C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center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CD1D5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lastRenderedPageBreak/>
              <w:t>Орташа</w:t>
            </w:r>
          </w:p>
        </w:tc>
        <w:tc>
          <w:tcPr>
            <w:tcW w:w="3121" w:type="dxa"/>
          </w:tcPr>
          <w:p w:rsidR="00CD1D5C" w:rsidRDefault="00CD1D5C" w:rsidP="00205588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CD1D5C" w:rsidTr="00CD1D5C">
        <w:tc>
          <w:tcPr>
            <w:tcW w:w="4253" w:type="dxa"/>
          </w:tcPr>
          <w:p w:rsidR="00CD1D5C" w:rsidRDefault="00166515" w:rsidP="00205588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16651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Қазақстан Республикасы Төтенше жағдайлар министрінің 2021 жылғы 9 шілдедегі № 332 бұйрығымен бекітілген "өнеркәсіптік қауіпсіздік саласындағы мамандарды, қызметкерлерді даярлау, қайта даярлау және олардың білімін тексеру қағидаларының" талаптарына сәйкес өнеркәсіптік қауіпсіздік бойынша білімін кейіннен тексере отырып оқытудың болмауы.</w:t>
            </w:r>
          </w:p>
        </w:tc>
        <w:tc>
          <w:tcPr>
            <w:tcW w:w="2124" w:type="dxa"/>
            <w:vAlign w:val="center"/>
          </w:tcPr>
          <w:p w:rsidR="00CD1D5C" w:rsidRDefault="00CD1D5C" w:rsidP="00CD1D5C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center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CD1D5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Орташа</w:t>
            </w:r>
          </w:p>
        </w:tc>
        <w:tc>
          <w:tcPr>
            <w:tcW w:w="3121" w:type="dxa"/>
          </w:tcPr>
          <w:p w:rsidR="00CD1D5C" w:rsidRDefault="00CD1D5C" w:rsidP="00205588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CD1D5C" w:rsidTr="00CD1D5C">
        <w:tc>
          <w:tcPr>
            <w:tcW w:w="4253" w:type="dxa"/>
          </w:tcPr>
          <w:p w:rsidR="00CD1D5C" w:rsidRDefault="00166515" w:rsidP="00205588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16651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Мұнай және газ өнеркәсібінің қауіпті өндірістік объектілері үшін өнеркәсіптік қауіпсіздікті қамтамасыз ету қағидаларының 996-тармағына сәйкес өнімді горизонтты немесе ықтимал флюид көріністері бар қабаттарды ашу алдында авариялар мен инциденттердің алдын алу жөніндегі іс-шаралардың орындалуын сақтамау.</w:t>
            </w:r>
          </w:p>
        </w:tc>
        <w:tc>
          <w:tcPr>
            <w:tcW w:w="2124" w:type="dxa"/>
            <w:vAlign w:val="center"/>
          </w:tcPr>
          <w:p w:rsidR="00CD1D5C" w:rsidRDefault="00CD1D5C" w:rsidP="00CD1D5C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center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CD1D5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Орташа</w:t>
            </w:r>
          </w:p>
        </w:tc>
        <w:tc>
          <w:tcPr>
            <w:tcW w:w="3121" w:type="dxa"/>
          </w:tcPr>
          <w:p w:rsidR="00CD1D5C" w:rsidRDefault="00CD1D5C" w:rsidP="00205588">
            <w:pPr>
              <w:pStyle w:val="a3"/>
              <w:tabs>
                <w:tab w:val="left" w:pos="851"/>
              </w:tabs>
              <w:spacing w:after="0" w:line="240" w:lineRule="auto"/>
              <w:ind w:left="0" w:right="28"/>
              <w:jc w:val="both"/>
              <w:outlineLvl w:val="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:rsidR="00CD1D5C" w:rsidRPr="00CD1D5C" w:rsidRDefault="00CD1D5C" w:rsidP="00205588">
      <w:pPr>
        <w:pStyle w:val="a3"/>
        <w:tabs>
          <w:tab w:val="left" w:pos="851"/>
        </w:tabs>
        <w:spacing w:after="0" w:line="240" w:lineRule="auto"/>
        <w:ind w:left="426"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CD1D5C" w:rsidRDefault="00CD1D5C" w:rsidP="0016651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right="28" w:hanging="426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val="kk-KZ" w:eastAsia="zh-CN"/>
        </w:rPr>
      </w:pPr>
      <w:r w:rsidRPr="00166515"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val="kk-KZ" w:eastAsia="zh-CN"/>
        </w:rPr>
        <w:t>Жабдыққа, көлікке, техникаға, мүлікке қойылатын негізгі талаптар</w:t>
      </w:r>
    </w:p>
    <w:p w:rsidR="00166515" w:rsidRDefault="00166515" w:rsidP="00166515">
      <w:p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val="kk-KZ" w:eastAsia="zh-CN"/>
        </w:rPr>
      </w:pPr>
    </w:p>
    <w:p w:rsidR="00CD1D5C" w:rsidRPr="00166515" w:rsidRDefault="00CD1D5C" w:rsidP="0016651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right="28" w:hanging="426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val="kk-KZ" w:eastAsia="zh-CN"/>
        </w:rPr>
      </w:pPr>
      <w:r w:rsidRPr="00166515">
        <w:rPr>
          <w:rFonts w:ascii="Times New Roman" w:hAnsi="Times New Roman"/>
          <w:bCs/>
          <w:noProof/>
          <w:color w:val="000000"/>
          <w:sz w:val="24"/>
          <w:szCs w:val="24"/>
          <w:u w:val="single"/>
          <w:lang w:val="kk-KZ" w:eastAsia="zh-CN"/>
        </w:rPr>
        <w:t>Мердігердің Қызметкерлеріне қойылатын негізгі талаптар</w:t>
      </w:r>
    </w:p>
    <w:p w:rsidR="00357F7C" w:rsidRDefault="00357F7C" w:rsidP="00166515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6515" w:rsidRDefault="00166515" w:rsidP="00166515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4536"/>
      </w:tblGrid>
      <w:tr w:rsidR="005877AE" w:rsidRPr="0044225A" w:rsidTr="00166515">
        <w:trPr>
          <w:trHeight w:val="354"/>
        </w:trPr>
        <w:tc>
          <w:tcPr>
            <w:tcW w:w="4673" w:type="dxa"/>
            <w:shd w:val="clear" w:color="auto" w:fill="auto"/>
          </w:tcPr>
          <w:p w:rsidR="005877AE" w:rsidRPr="000E78D8" w:rsidRDefault="00166515" w:rsidP="00954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E78D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877AE" w:rsidRPr="000E78D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«ТАПСЫРЫСШЫ»</w:t>
            </w:r>
          </w:p>
          <w:p w:rsidR="005877AE" w:rsidRPr="000E78D8" w:rsidRDefault="005877AE" w:rsidP="00954F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5877AE" w:rsidRPr="000E78D8" w:rsidRDefault="005877AE" w:rsidP="00954FB1">
            <w:pPr>
              <w:pStyle w:val="a7"/>
              <w:ind w:left="0" w:right="0"/>
              <w:jc w:val="right"/>
              <w:rPr>
                <w:szCs w:val="24"/>
                <w:lang w:val="kk-KZ"/>
              </w:rPr>
            </w:pPr>
            <w:r w:rsidRPr="000E78D8">
              <w:rPr>
                <w:szCs w:val="24"/>
                <w:lang w:val="kk-KZ"/>
              </w:rPr>
              <w:t>«Ембамұнайгаз» АҚ бас</w:t>
            </w:r>
            <w:r>
              <w:rPr>
                <w:szCs w:val="24"/>
                <w:lang w:val="kk-KZ"/>
              </w:rPr>
              <w:t xml:space="preserve"> </w:t>
            </w:r>
            <w:r w:rsidRPr="000E78D8">
              <w:rPr>
                <w:szCs w:val="24"/>
                <w:lang w:val="kk-KZ"/>
              </w:rPr>
              <w:t>директордың геология және игеру жөніндегі орынбасары</w:t>
            </w:r>
          </w:p>
          <w:p w:rsidR="005877AE" w:rsidRPr="000E78D8" w:rsidRDefault="005877AE" w:rsidP="00954FB1">
            <w:pPr>
              <w:pStyle w:val="a7"/>
              <w:jc w:val="right"/>
              <w:rPr>
                <w:szCs w:val="24"/>
                <w:lang w:val="kk-KZ"/>
              </w:rPr>
            </w:pPr>
          </w:p>
          <w:p w:rsidR="005877AE" w:rsidRPr="000E78D8" w:rsidRDefault="005877AE" w:rsidP="00954F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E78D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____________________Қ. Көзов</w:t>
            </w:r>
          </w:p>
        </w:tc>
        <w:tc>
          <w:tcPr>
            <w:tcW w:w="284" w:type="dxa"/>
            <w:shd w:val="clear" w:color="auto" w:fill="auto"/>
          </w:tcPr>
          <w:p w:rsidR="005877AE" w:rsidRPr="0044225A" w:rsidRDefault="005877AE" w:rsidP="00954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877AE" w:rsidRPr="0044225A" w:rsidRDefault="005877AE" w:rsidP="00587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4422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МЕРДІГЕР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5877AE" w:rsidRDefault="005877AE" w:rsidP="00357F7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bookmarkEnd w:id="1"/>
    <w:p w:rsidR="005877AE" w:rsidRDefault="005877AE" w:rsidP="00357F7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58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059B2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B52CF"/>
    <w:multiLevelType w:val="hybridMultilevel"/>
    <w:tmpl w:val="A54CF1B6"/>
    <w:lvl w:ilvl="0" w:tplc="709ED9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6C"/>
    <w:rsid w:val="0007637F"/>
    <w:rsid w:val="000C52AA"/>
    <w:rsid w:val="00166515"/>
    <w:rsid w:val="00205588"/>
    <w:rsid w:val="00357F7C"/>
    <w:rsid w:val="00502C44"/>
    <w:rsid w:val="005877AE"/>
    <w:rsid w:val="0070566C"/>
    <w:rsid w:val="00772A5D"/>
    <w:rsid w:val="009A1EF9"/>
    <w:rsid w:val="00BF0089"/>
    <w:rsid w:val="00CD1D5C"/>
    <w:rsid w:val="00D45F1E"/>
    <w:rsid w:val="00D91E78"/>
    <w:rsid w:val="00DB13C1"/>
    <w:rsid w:val="00DB6A1E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506D3-40F9-40CD-9938-D57D28A0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357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357F7C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5877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5877AE"/>
    <w:rPr>
      <w:rFonts w:ascii="Calibri" w:eastAsia="Calibri" w:hAnsi="Calibri" w:cs="Times New Roman"/>
    </w:rPr>
  </w:style>
  <w:style w:type="paragraph" w:styleId="a7">
    <w:name w:val="Block Text"/>
    <w:basedOn w:val="a"/>
    <w:qFormat/>
    <w:rsid w:val="005877AE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uiPriority w:val="39"/>
    <w:rsid w:val="00CD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Куантыров Кайрат Казыбекович</dc:creator>
  <cp:keywords/>
  <dc:description/>
  <cp:lastModifiedBy>Сагинбеков Серик Кутынович</cp:lastModifiedBy>
  <cp:revision>7</cp:revision>
  <dcterms:created xsi:type="dcterms:W3CDTF">2024-03-18T06:39:00Z</dcterms:created>
  <dcterms:modified xsi:type="dcterms:W3CDTF">2024-03-18T11:11:00Z</dcterms:modified>
</cp:coreProperties>
</file>