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790595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90595">
        <w:rPr>
          <w:rFonts w:ascii="TimesNewRomanPSMT" w:hAnsi="TimesNewRomanPSMT" w:cs="TimesNewRomanPSMT"/>
          <w:b/>
          <w:color w:val="000000"/>
          <w:sz w:val="28"/>
          <w:szCs w:val="28"/>
        </w:rPr>
        <w:t>Приложение №</w:t>
      </w:r>
      <w:r w:rsidR="00790595" w:rsidRPr="00790595">
        <w:rPr>
          <w:rFonts w:ascii="TimesNewRomanPSMT" w:hAnsi="TimesNewRomanPSMT" w:cs="TimesNewRomanPSMT"/>
          <w:b/>
          <w:color w:val="000000"/>
          <w:sz w:val="28"/>
          <w:szCs w:val="28"/>
        </w:rPr>
        <w:t>8</w:t>
      </w:r>
    </w:p>
    <w:p w:rsidR="00A01EC2" w:rsidRPr="00790595" w:rsidRDefault="00790595" w:rsidP="00790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9059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                                                                                   к</w:t>
      </w:r>
      <w:r w:rsidR="00A01EC2" w:rsidRPr="0079059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 w:rsidRPr="00790595">
        <w:rPr>
          <w:rFonts w:ascii="TimesNewRomanPSMT" w:hAnsi="TimesNewRomanPSMT" w:cs="TimesNewRomanPSMT"/>
          <w:b/>
          <w:color w:val="000000"/>
          <w:sz w:val="28"/>
          <w:szCs w:val="28"/>
        </w:rPr>
        <w:t>д</w:t>
      </w:r>
      <w:r w:rsidR="00A01EC2" w:rsidRPr="00790595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оговору 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E1E00"/>
    <w:rsid w:val="00790595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2945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Вильгельм Александр Владимирович</cp:lastModifiedBy>
  <cp:revision>5</cp:revision>
  <dcterms:created xsi:type="dcterms:W3CDTF">2022-04-05T09:25:00Z</dcterms:created>
  <dcterms:modified xsi:type="dcterms:W3CDTF">2025-01-06T10:12:00Z</dcterms:modified>
</cp:coreProperties>
</file>