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64" w:rsidRPr="007C477F" w:rsidRDefault="005D7864" w:rsidP="005D7864">
      <w:pPr>
        <w:pStyle w:val="a8"/>
        <w:jc w:val="right"/>
        <w:rPr>
          <w:b w:val="0"/>
          <w:color w:val="000000" w:themeColor="text1"/>
          <w:szCs w:val="28"/>
        </w:rPr>
      </w:pPr>
      <w:bookmarkStart w:id="0" w:name="_GoBack"/>
      <w:bookmarkEnd w:id="0"/>
      <w:r w:rsidRPr="007C477F">
        <w:rPr>
          <w:b w:val="0"/>
          <w:color w:val="000000" w:themeColor="text1"/>
          <w:szCs w:val="28"/>
        </w:rPr>
        <w:t>Приложение №1</w:t>
      </w:r>
    </w:p>
    <w:p w:rsidR="005D7864" w:rsidRPr="007C477F" w:rsidRDefault="005D7864" w:rsidP="005D7864">
      <w:pPr>
        <w:pStyle w:val="a8"/>
        <w:jc w:val="right"/>
        <w:rPr>
          <w:b w:val="0"/>
          <w:color w:val="000000" w:themeColor="text1"/>
          <w:szCs w:val="28"/>
        </w:rPr>
      </w:pPr>
      <w:r w:rsidRPr="007C477F">
        <w:rPr>
          <w:b w:val="0"/>
          <w:color w:val="000000" w:themeColor="text1"/>
          <w:szCs w:val="28"/>
        </w:rPr>
        <w:t>к Технической спецификации</w:t>
      </w:r>
    </w:p>
    <w:p w:rsidR="005D7864" w:rsidRPr="000866D4" w:rsidRDefault="005D7864" w:rsidP="005D7864">
      <w:pPr>
        <w:pStyle w:val="a8"/>
        <w:rPr>
          <w:b w:val="0"/>
          <w:color w:val="000000" w:themeColor="text1"/>
          <w:sz w:val="24"/>
        </w:rPr>
      </w:pPr>
    </w:p>
    <w:p w:rsidR="005D7864" w:rsidRDefault="005D7864" w:rsidP="005D7864">
      <w:pPr>
        <w:pStyle w:val="a8"/>
        <w:rPr>
          <w:b w:val="0"/>
          <w:color w:val="000000" w:themeColor="text1"/>
          <w:sz w:val="24"/>
        </w:rPr>
      </w:pPr>
    </w:p>
    <w:p w:rsidR="005D7864" w:rsidRPr="007C477F" w:rsidRDefault="005D7864" w:rsidP="005D7864">
      <w:pPr>
        <w:pStyle w:val="a8"/>
        <w:rPr>
          <w:color w:val="000000" w:themeColor="text1"/>
          <w:szCs w:val="28"/>
        </w:rPr>
      </w:pPr>
      <w:r w:rsidRPr="007C477F">
        <w:rPr>
          <w:color w:val="000000" w:themeColor="text1"/>
          <w:szCs w:val="28"/>
        </w:rPr>
        <w:t>Основные объемы оказываемых услуг</w:t>
      </w:r>
    </w:p>
    <w:p w:rsidR="0086447B" w:rsidRPr="007C477F" w:rsidRDefault="0086447B" w:rsidP="005D7864">
      <w:pPr>
        <w:pStyle w:val="a8"/>
        <w:tabs>
          <w:tab w:val="left" w:pos="284"/>
        </w:tabs>
        <w:rPr>
          <w:color w:val="000000" w:themeColor="text1"/>
          <w:szCs w:val="28"/>
          <w:lang w:val="kk-KZ"/>
        </w:rPr>
      </w:pPr>
      <w:r w:rsidRPr="005D7864">
        <w:rPr>
          <w:rFonts w:eastAsia="Times New Roman"/>
          <w:szCs w:val="28"/>
        </w:rPr>
        <w:t>на закуп услуг по</w:t>
      </w:r>
      <w:r w:rsidRPr="005D7864">
        <w:rPr>
          <w:rFonts w:eastAsia="Times New Roman"/>
          <w:b w:val="0"/>
          <w:szCs w:val="28"/>
        </w:rPr>
        <w:t xml:space="preserve"> </w:t>
      </w:r>
      <w:r w:rsidRPr="005D7864">
        <w:rPr>
          <w:rFonts w:eastAsia="Times New Roman"/>
          <w:szCs w:val="28"/>
        </w:rPr>
        <w:t>диагностированию/</w:t>
      </w:r>
      <w:r w:rsidRPr="005D7864">
        <w:rPr>
          <w:rFonts w:eastAsia="Times New Roman"/>
          <w:b w:val="0"/>
          <w:szCs w:val="28"/>
        </w:rPr>
        <w:t xml:space="preserve"> </w:t>
      </w:r>
      <w:r w:rsidRPr="005D7864">
        <w:rPr>
          <w:rFonts w:eastAsia="Times New Roman"/>
          <w:szCs w:val="28"/>
        </w:rPr>
        <w:t>экспертизе/</w:t>
      </w:r>
      <w:r w:rsidRPr="005D7864">
        <w:rPr>
          <w:rFonts w:eastAsia="Times New Roman"/>
          <w:b w:val="0"/>
          <w:szCs w:val="28"/>
        </w:rPr>
        <w:t xml:space="preserve"> </w:t>
      </w:r>
      <w:r w:rsidRPr="005D7864">
        <w:rPr>
          <w:rFonts w:eastAsia="Times New Roman"/>
          <w:szCs w:val="28"/>
        </w:rPr>
        <w:t>анализу/</w:t>
      </w:r>
      <w:r w:rsidRPr="005D7864">
        <w:rPr>
          <w:rFonts w:eastAsia="Times New Roman"/>
          <w:b w:val="0"/>
          <w:szCs w:val="28"/>
        </w:rPr>
        <w:t xml:space="preserve"> </w:t>
      </w:r>
      <w:r w:rsidRPr="005D7864">
        <w:rPr>
          <w:rFonts w:eastAsia="Times New Roman"/>
          <w:szCs w:val="28"/>
        </w:rPr>
        <w:t>испытаниям/</w:t>
      </w:r>
      <w:r w:rsidRPr="005D7864">
        <w:rPr>
          <w:rFonts w:eastAsia="Times New Roman"/>
          <w:b w:val="0"/>
          <w:szCs w:val="28"/>
        </w:rPr>
        <w:t xml:space="preserve"> </w:t>
      </w:r>
      <w:r w:rsidRPr="005D7864">
        <w:rPr>
          <w:rFonts w:eastAsia="Times New Roman"/>
          <w:szCs w:val="28"/>
        </w:rPr>
        <w:t>тестированию/</w:t>
      </w:r>
      <w:r w:rsidRPr="005D7864">
        <w:rPr>
          <w:rFonts w:eastAsia="Times New Roman"/>
          <w:b w:val="0"/>
          <w:szCs w:val="28"/>
        </w:rPr>
        <w:t xml:space="preserve"> </w:t>
      </w:r>
      <w:r w:rsidRPr="005D7864">
        <w:rPr>
          <w:rFonts w:eastAsia="Times New Roman"/>
          <w:szCs w:val="28"/>
        </w:rPr>
        <w:t>осмотру</w:t>
      </w:r>
      <w:r w:rsidRPr="005D7864">
        <w:rPr>
          <w:rFonts w:eastAsia="Times New Roman"/>
          <w:b w:val="0"/>
          <w:szCs w:val="28"/>
        </w:rPr>
        <w:t xml:space="preserve"> (</w:t>
      </w:r>
      <w:r>
        <w:rPr>
          <w:rFonts w:eastAsia="Times New Roman"/>
          <w:szCs w:val="28"/>
        </w:rPr>
        <w:t>о</w:t>
      </w:r>
      <w:r w:rsidRPr="005D7864">
        <w:rPr>
          <w:rFonts w:eastAsia="Times New Roman"/>
          <w:szCs w:val="28"/>
        </w:rPr>
        <w:t>бсл</w:t>
      </w:r>
      <w:r>
        <w:rPr>
          <w:rFonts w:eastAsia="Times New Roman"/>
          <w:szCs w:val="28"/>
        </w:rPr>
        <w:t xml:space="preserve">едование резервуаров и емкостей </w:t>
      </w:r>
      <w:r w:rsidRPr="005D7864">
        <w:rPr>
          <w:rFonts w:eastAsia="Times New Roman"/>
          <w:szCs w:val="28"/>
        </w:rPr>
        <w:t>вспомогательных систем НПС №11 и базы ВУОУ с оценкой технического состояния</w:t>
      </w:r>
      <w:r w:rsidRPr="005D7864">
        <w:rPr>
          <w:rFonts w:eastAsia="Times New Roman"/>
          <w:b w:val="0"/>
          <w:szCs w:val="28"/>
        </w:rPr>
        <w:t>)</w:t>
      </w:r>
    </w:p>
    <w:p w:rsidR="005D7864" w:rsidRPr="007540E7" w:rsidRDefault="005D7864" w:rsidP="005D7864">
      <w:pPr>
        <w:tabs>
          <w:tab w:val="left" w:pos="284"/>
        </w:tabs>
        <w:spacing w:after="0" w:line="240" w:lineRule="auto"/>
        <w:jc w:val="center"/>
        <w:rPr>
          <w:rFonts w:ascii="Times New Roman" w:hAnsi="Times New Roman" w:cs="Times New Roman"/>
          <w:color w:val="000000" w:themeColor="text1"/>
          <w:sz w:val="24"/>
          <w:szCs w:val="24"/>
          <w:lang w:val="kk-KZ"/>
        </w:rPr>
      </w:pPr>
    </w:p>
    <w:p w:rsidR="005D7864" w:rsidRPr="0050527F" w:rsidRDefault="005D7864" w:rsidP="0050527F">
      <w:pPr>
        <w:widowControl w:val="0"/>
        <w:tabs>
          <w:tab w:val="left" w:pos="993"/>
        </w:tabs>
        <w:spacing w:after="0" w:line="240" w:lineRule="auto"/>
        <w:ind w:firstLine="567"/>
        <w:jc w:val="center"/>
        <w:rPr>
          <w:rFonts w:ascii="Times New Roman" w:hAnsi="Times New Roman" w:cs="Times New Roman"/>
          <w:b/>
          <w:bCs/>
          <w:color w:val="000000" w:themeColor="text1"/>
          <w:sz w:val="28"/>
          <w:szCs w:val="28"/>
          <w:lang w:val="ru-RU"/>
        </w:rPr>
      </w:pPr>
      <w:r w:rsidRPr="0050527F">
        <w:rPr>
          <w:rFonts w:ascii="Times New Roman" w:hAnsi="Times New Roman" w:cs="Times New Roman"/>
          <w:b/>
          <w:bCs/>
          <w:color w:val="000000" w:themeColor="text1"/>
          <w:sz w:val="28"/>
          <w:szCs w:val="28"/>
          <w:lang w:val="ru-RU"/>
        </w:rPr>
        <w:t>Лот №1 (6</w:t>
      </w:r>
      <w:r w:rsidR="0050527F" w:rsidRPr="0050527F">
        <w:rPr>
          <w:rFonts w:ascii="Times New Roman" w:hAnsi="Times New Roman" w:cs="Times New Roman"/>
          <w:b/>
          <w:bCs/>
          <w:color w:val="000000" w:themeColor="text1"/>
          <w:sz w:val="28"/>
          <w:szCs w:val="28"/>
          <w:lang w:val="ru-RU"/>
        </w:rPr>
        <w:t>37</w:t>
      </w:r>
      <w:r w:rsidRPr="0050527F">
        <w:rPr>
          <w:rFonts w:ascii="Times New Roman" w:hAnsi="Times New Roman" w:cs="Times New Roman"/>
          <w:b/>
          <w:bCs/>
          <w:color w:val="000000" w:themeColor="text1"/>
          <w:sz w:val="28"/>
          <w:szCs w:val="28"/>
          <w:lang w:val="ru-RU"/>
        </w:rPr>
        <w:t xml:space="preserve"> У)</w:t>
      </w:r>
    </w:p>
    <w:p w:rsidR="005D7864" w:rsidRPr="0050527F" w:rsidRDefault="0050527F" w:rsidP="0050527F">
      <w:pPr>
        <w:pStyle w:val="a4"/>
        <w:numPr>
          <w:ilvl w:val="0"/>
          <w:numId w:val="2"/>
        </w:numPr>
        <w:tabs>
          <w:tab w:val="left" w:pos="851"/>
          <w:tab w:val="left" w:pos="993"/>
        </w:tabs>
        <w:spacing w:line="240" w:lineRule="auto"/>
        <w:ind w:left="0" w:right="-57" w:firstLine="567"/>
      </w:pPr>
      <w:r w:rsidRPr="0050527F">
        <w:rPr>
          <w:color w:val="000000"/>
        </w:rPr>
        <w:t>Обследование резервуаров и емкостей вспомогательных систем НПС №11 и базы ВУОУ с оценкой технического состояния</w:t>
      </w:r>
      <w:r w:rsidR="005D7864" w:rsidRPr="0050527F">
        <w:t>.</w:t>
      </w:r>
    </w:p>
    <w:p w:rsidR="005D7864" w:rsidRPr="0050527F" w:rsidRDefault="005D7864" w:rsidP="0050527F">
      <w:pPr>
        <w:pStyle w:val="a4"/>
        <w:numPr>
          <w:ilvl w:val="0"/>
          <w:numId w:val="2"/>
        </w:numPr>
        <w:tabs>
          <w:tab w:val="left" w:pos="851"/>
          <w:tab w:val="left" w:pos="993"/>
        </w:tabs>
        <w:spacing w:line="240" w:lineRule="auto"/>
        <w:ind w:left="0" w:right="-57" w:firstLine="567"/>
      </w:pPr>
      <w:r w:rsidRPr="0050527F">
        <w:t xml:space="preserve">Место оказания услуг: Область </w:t>
      </w:r>
      <w:proofErr w:type="spellStart"/>
      <w:r w:rsidRPr="0050527F">
        <w:t>Жетісу</w:t>
      </w:r>
      <w:proofErr w:type="spellEnd"/>
      <w:r w:rsidRPr="0050527F">
        <w:t xml:space="preserve">, </w:t>
      </w:r>
      <w:proofErr w:type="spellStart"/>
      <w:r w:rsidRPr="0050527F">
        <w:t>Алакольский</w:t>
      </w:r>
      <w:proofErr w:type="spellEnd"/>
      <w:r w:rsidRPr="0050527F">
        <w:t xml:space="preserve"> район: </w:t>
      </w:r>
      <w:proofErr w:type="spellStart"/>
      <w:r w:rsidRPr="0050527F">
        <w:t>г.Ушарал</w:t>
      </w:r>
      <w:proofErr w:type="spellEnd"/>
      <w:r w:rsidRPr="0050527F">
        <w:t xml:space="preserve">; НПС №11 (в 7 км от </w:t>
      </w:r>
      <w:proofErr w:type="spellStart"/>
      <w:r w:rsidRPr="0050527F">
        <w:t>г.Ушарал</w:t>
      </w:r>
      <w:proofErr w:type="spellEnd"/>
      <w:r w:rsidRPr="0050527F">
        <w:t>) - Восточное УОУ.</w:t>
      </w:r>
    </w:p>
    <w:p w:rsidR="005D7864" w:rsidRPr="0050527F" w:rsidRDefault="005D7864" w:rsidP="0050527F">
      <w:pPr>
        <w:pStyle w:val="a4"/>
        <w:numPr>
          <w:ilvl w:val="0"/>
          <w:numId w:val="2"/>
        </w:numPr>
        <w:tabs>
          <w:tab w:val="left" w:pos="851"/>
          <w:tab w:val="left" w:pos="993"/>
        </w:tabs>
        <w:spacing w:line="240" w:lineRule="auto"/>
        <w:ind w:left="0" w:right="-57" w:firstLine="567"/>
      </w:pPr>
      <w:r w:rsidRPr="0050527F">
        <w:rPr>
          <w:bCs/>
          <w:color w:val="000000"/>
        </w:rPr>
        <w:t xml:space="preserve">Географические координаты: </w:t>
      </w:r>
      <w:r w:rsidRPr="0050527F">
        <w:t xml:space="preserve">НПС №11 - </w:t>
      </w:r>
      <w:r w:rsidRPr="0050527F">
        <w:rPr>
          <w:color w:val="000000"/>
        </w:rPr>
        <w:t>46°11'45.5"N 81°02'31"E.</w:t>
      </w:r>
    </w:p>
    <w:p w:rsidR="005D7864" w:rsidRPr="0050527F" w:rsidRDefault="005D7864" w:rsidP="0050527F">
      <w:pPr>
        <w:pStyle w:val="a4"/>
        <w:numPr>
          <w:ilvl w:val="0"/>
          <w:numId w:val="2"/>
        </w:numPr>
        <w:tabs>
          <w:tab w:val="left" w:pos="851"/>
          <w:tab w:val="left" w:pos="993"/>
        </w:tabs>
        <w:spacing w:line="240" w:lineRule="auto"/>
        <w:ind w:left="0" w:right="-57" w:firstLine="567"/>
      </w:pPr>
      <w:r w:rsidRPr="0050527F">
        <w:t>Срок выполнения: с даты заключения договора по 31 декабря 2023 года, включительно.</w:t>
      </w:r>
    </w:p>
    <w:p w:rsidR="005D7864" w:rsidRDefault="005D7864" w:rsidP="005D7864">
      <w:pPr>
        <w:pStyle w:val="a6"/>
        <w:tabs>
          <w:tab w:val="left" w:pos="284"/>
        </w:tabs>
        <w:spacing w:before="0" w:beforeAutospacing="0" w:after="0" w:afterAutospacing="0"/>
        <w:jc w:val="both"/>
        <w:rPr>
          <w:color w:val="000000" w:themeColor="text1"/>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180"/>
        <w:gridCol w:w="709"/>
        <w:gridCol w:w="1134"/>
        <w:gridCol w:w="1276"/>
        <w:gridCol w:w="850"/>
        <w:gridCol w:w="1796"/>
        <w:gridCol w:w="1560"/>
        <w:gridCol w:w="1799"/>
      </w:tblGrid>
      <w:tr w:rsidR="000F6AEA" w:rsidRPr="00E11155" w:rsidTr="00A861B1">
        <w:trPr>
          <w:trHeight w:val="1293"/>
          <w:tblHeader/>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proofErr w:type="spellStart"/>
            <w:r w:rsidRPr="000F6AEA">
              <w:rPr>
                <w:rFonts w:ascii="Times New Roman" w:hAnsi="Times New Roman" w:cs="Times New Roman"/>
                <w:b/>
                <w:bCs/>
                <w:color w:val="000000"/>
                <w:sz w:val="20"/>
                <w:szCs w:val="20"/>
              </w:rPr>
              <w:t>Тип</w:t>
            </w:r>
            <w:proofErr w:type="spellEnd"/>
            <w:r w:rsidRPr="000F6AEA">
              <w:rPr>
                <w:rFonts w:ascii="Times New Roman" w:hAnsi="Times New Roman" w:cs="Times New Roman"/>
                <w:b/>
                <w:bCs/>
                <w:color w:val="000000"/>
                <w:sz w:val="20"/>
                <w:szCs w:val="20"/>
              </w:rPr>
              <w:t xml:space="preserve"> </w:t>
            </w:r>
            <w:proofErr w:type="spellStart"/>
            <w:r w:rsidRPr="000F6AEA">
              <w:rPr>
                <w:rFonts w:ascii="Times New Roman" w:hAnsi="Times New Roman" w:cs="Times New Roman"/>
                <w:b/>
                <w:bCs/>
                <w:color w:val="000000"/>
                <w:sz w:val="20"/>
                <w:szCs w:val="20"/>
              </w:rPr>
              <w:t>резервуара</w:t>
            </w:r>
            <w:proofErr w:type="spellEnd"/>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proofErr w:type="spellStart"/>
            <w:r w:rsidRPr="000F6AEA">
              <w:rPr>
                <w:rFonts w:ascii="Times New Roman" w:hAnsi="Times New Roman" w:cs="Times New Roman"/>
                <w:b/>
                <w:bCs/>
                <w:color w:val="000000"/>
                <w:sz w:val="20"/>
                <w:szCs w:val="20"/>
              </w:rPr>
              <w:t>Объем</w:t>
            </w:r>
            <w:proofErr w:type="spellEnd"/>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lang w:val="ru-RU"/>
              </w:rPr>
            </w:pPr>
            <w:r w:rsidRPr="000F6AEA">
              <w:rPr>
                <w:rFonts w:ascii="Times New Roman" w:hAnsi="Times New Roman" w:cs="Times New Roman"/>
                <w:b/>
                <w:bCs/>
                <w:color w:val="000000"/>
                <w:sz w:val="20"/>
                <w:szCs w:val="20"/>
                <w:lang w:val="ru-RU"/>
              </w:rPr>
              <w:t>Год выпуска/ год ввода в эксплуатацию</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proofErr w:type="spellStart"/>
            <w:r w:rsidRPr="000F6AEA">
              <w:rPr>
                <w:rFonts w:ascii="Times New Roman" w:hAnsi="Times New Roman" w:cs="Times New Roman"/>
                <w:b/>
                <w:bCs/>
                <w:color w:val="000000"/>
                <w:sz w:val="20"/>
                <w:szCs w:val="20"/>
              </w:rPr>
              <w:t>Исполнение</w:t>
            </w:r>
            <w:proofErr w:type="spellEnd"/>
            <w:r w:rsidRPr="000F6AEA">
              <w:rPr>
                <w:rFonts w:ascii="Times New Roman" w:hAnsi="Times New Roman" w:cs="Times New Roman"/>
                <w:b/>
                <w:bCs/>
                <w:color w:val="000000"/>
                <w:sz w:val="20"/>
                <w:szCs w:val="20"/>
              </w:rPr>
              <w:t xml:space="preserve"> </w:t>
            </w:r>
            <w:proofErr w:type="spellStart"/>
            <w:r w:rsidRPr="000F6AEA">
              <w:rPr>
                <w:rFonts w:ascii="Times New Roman" w:hAnsi="Times New Roman" w:cs="Times New Roman"/>
                <w:b/>
                <w:bCs/>
                <w:color w:val="000000"/>
                <w:sz w:val="20"/>
                <w:szCs w:val="20"/>
              </w:rPr>
              <w:t>резервуара</w:t>
            </w:r>
            <w:proofErr w:type="spellEnd"/>
            <w:r w:rsidRPr="000F6AEA">
              <w:rPr>
                <w:rFonts w:ascii="Times New Roman" w:hAnsi="Times New Roman" w:cs="Times New Roman"/>
                <w:b/>
                <w:bCs/>
                <w:color w:val="000000"/>
                <w:sz w:val="20"/>
                <w:szCs w:val="20"/>
              </w:rPr>
              <w:t xml:space="preserve"> (</w:t>
            </w:r>
            <w:proofErr w:type="spellStart"/>
            <w:r w:rsidRPr="000F6AEA">
              <w:rPr>
                <w:rFonts w:ascii="Times New Roman" w:hAnsi="Times New Roman" w:cs="Times New Roman"/>
                <w:b/>
                <w:bCs/>
                <w:color w:val="000000"/>
                <w:sz w:val="20"/>
                <w:szCs w:val="20"/>
              </w:rPr>
              <w:t>надземный</w:t>
            </w:r>
            <w:proofErr w:type="spellEnd"/>
            <w:r w:rsidRPr="000F6AEA">
              <w:rPr>
                <w:rFonts w:ascii="Times New Roman" w:hAnsi="Times New Roman" w:cs="Times New Roman"/>
                <w:b/>
                <w:bCs/>
                <w:color w:val="000000"/>
                <w:sz w:val="20"/>
                <w:szCs w:val="20"/>
              </w:rPr>
              <w:t xml:space="preserve">/ </w:t>
            </w:r>
            <w:proofErr w:type="spellStart"/>
            <w:r w:rsidRPr="000F6AEA">
              <w:rPr>
                <w:rFonts w:ascii="Times New Roman" w:hAnsi="Times New Roman" w:cs="Times New Roman"/>
                <w:b/>
                <w:bCs/>
                <w:color w:val="000000"/>
                <w:sz w:val="20"/>
                <w:szCs w:val="20"/>
              </w:rPr>
              <w:t>подземный</w:t>
            </w:r>
            <w:proofErr w:type="spellEnd"/>
            <w:r w:rsidRPr="000F6AEA">
              <w:rPr>
                <w:rFonts w:ascii="Times New Roman" w:hAnsi="Times New Roman" w:cs="Times New Roman"/>
                <w:b/>
                <w:bCs/>
                <w:color w:val="000000"/>
                <w:sz w:val="20"/>
                <w:szCs w:val="20"/>
              </w:rPr>
              <w:t>)</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proofErr w:type="spellStart"/>
            <w:r w:rsidRPr="000F6AEA">
              <w:rPr>
                <w:rFonts w:ascii="Times New Roman" w:hAnsi="Times New Roman" w:cs="Times New Roman"/>
                <w:b/>
                <w:bCs/>
                <w:color w:val="000000"/>
                <w:sz w:val="20"/>
                <w:szCs w:val="20"/>
              </w:rPr>
              <w:t>Среда</w:t>
            </w:r>
            <w:proofErr w:type="spellEnd"/>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proofErr w:type="spellStart"/>
            <w:r w:rsidRPr="000F6AEA">
              <w:rPr>
                <w:rFonts w:ascii="Times New Roman" w:hAnsi="Times New Roman" w:cs="Times New Roman"/>
                <w:b/>
                <w:bCs/>
                <w:color w:val="000000"/>
                <w:sz w:val="20"/>
                <w:szCs w:val="20"/>
              </w:rPr>
              <w:t>Объект</w:t>
            </w:r>
            <w:proofErr w:type="spellEnd"/>
            <w:r w:rsidRPr="000F6AEA">
              <w:rPr>
                <w:rFonts w:ascii="Times New Roman" w:hAnsi="Times New Roman" w:cs="Times New Roman"/>
                <w:b/>
                <w:bCs/>
                <w:color w:val="000000"/>
                <w:sz w:val="20"/>
                <w:szCs w:val="20"/>
              </w:rPr>
              <w:t xml:space="preserve"> (</w:t>
            </w:r>
            <w:proofErr w:type="spellStart"/>
            <w:r w:rsidRPr="000F6AEA">
              <w:rPr>
                <w:rFonts w:ascii="Times New Roman" w:hAnsi="Times New Roman" w:cs="Times New Roman"/>
                <w:b/>
                <w:bCs/>
                <w:color w:val="000000"/>
                <w:sz w:val="20"/>
                <w:szCs w:val="20"/>
              </w:rPr>
              <w:t>месторасположение</w:t>
            </w:r>
            <w:proofErr w:type="spellEnd"/>
            <w:r w:rsidRPr="000F6AEA">
              <w:rPr>
                <w:rFonts w:ascii="Times New Roman" w:hAnsi="Times New Roman" w:cs="Times New Roman"/>
                <w:b/>
                <w:bCs/>
                <w:color w:val="000000"/>
                <w:sz w:val="20"/>
                <w:szCs w:val="20"/>
              </w:rPr>
              <w:t>)</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lang w:val="ru-RU"/>
              </w:rPr>
            </w:pPr>
            <w:r w:rsidRPr="000F6AEA">
              <w:rPr>
                <w:rFonts w:ascii="Times New Roman" w:hAnsi="Times New Roman" w:cs="Times New Roman"/>
                <w:b/>
                <w:bCs/>
                <w:color w:val="000000"/>
                <w:sz w:val="20"/>
                <w:szCs w:val="20"/>
                <w:lang w:val="ru-RU"/>
              </w:rPr>
              <w:t>Дата и тип последнего проведения диагностирования</w:t>
            </w:r>
          </w:p>
        </w:tc>
        <w:tc>
          <w:tcPr>
            <w:tcW w:w="1799" w:type="dxa"/>
            <w:vAlign w:val="center"/>
            <w:hideMark/>
          </w:tcPr>
          <w:p w:rsidR="000F6AEA" w:rsidRPr="000F6AEA" w:rsidRDefault="000F6AEA" w:rsidP="00A861B1">
            <w:pPr>
              <w:spacing w:after="0" w:line="240" w:lineRule="auto"/>
              <w:ind w:left="-85" w:right="-85"/>
              <w:jc w:val="center"/>
              <w:rPr>
                <w:rFonts w:ascii="Times New Roman" w:hAnsi="Times New Roman" w:cs="Times New Roman"/>
                <w:b/>
                <w:bCs/>
                <w:color w:val="000000"/>
                <w:sz w:val="20"/>
                <w:szCs w:val="20"/>
                <w:lang w:val="ru-RU"/>
              </w:rPr>
            </w:pPr>
            <w:r w:rsidRPr="000F6AEA">
              <w:rPr>
                <w:rFonts w:ascii="Times New Roman" w:hAnsi="Times New Roman" w:cs="Times New Roman"/>
                <w:b/>
                <w:bCs/>
                <w:color w:val="000000"/>
                <w:sz w:val="20"/>
                <w:szCs w:val="20"/>
                <w:lang w:val="ru-RU"/>
              </w:rPr>
              <w:t>Дата / тип очередного диагностирования, согласно заключениям диагностирующей организации</w:t>
            </w:r>
          </w:p>
        </w:tc>
      </w:tr>
      <w:tr w:rsidR="000F6AEA" w:rsidRPr="000F6AEA" w:rsidTr="00A861B1">
        <w:trPr>
          <w:trHeight w:val="70"/>
          <w:tblHeader/>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1</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2</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4</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5</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6</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7</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8</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rPr>
            </w:pPr>
            <w:r w:rsidRPr="000F6AEA">
              <w:rPr>
                <w:rFonts w:ascii="Times New Roman" w:hAnsi="Times New Roman" w:cs="Times New Roman"/>
                <w:b/>
                <w:bCs/>
                <w:color w:val="000000"/>
                <w:sz w:val="20"/>
                <w:szCs w:val="20"/>
              </w:rPr>
              <w:t>9</w:t>
            </w:r>
          </w:p>
        </w:tc>
      </w:tr>
      <w:tr w:rsidR="000F6AEA" w:rsidRPr="000F6AEA" w:rsidTr="00A861B1">
        <w:trPr>
          <w:trHeight w:val="70"/>
          <w:tblHeader/>
        </w:trPr>
        <w:tc>
          <w:tcPr>
            <w:tcW w:w="10632" w:type="dxa"/>
            <w:gridSpan w:val="9"/>
            <w:vAlign w:val="center"/>
            <w:hideMark/>
          </w:tcPr>
          <w:p w:rsidR="000F6AEA" w:rsidRPr="000F6AEA" w:rsidRDefault="000F6AEA" w:rsidP="000F6AEA">
            <w:pPr>
              <w:spacing w:after="0" w:line="240" w:lineRule="auto"/>
              <w:ind w:left="-57" w:right="-57"/>
              <w:jc w:val="center"/>
              <w:rPr>
                <w:rFonts w:ascii="Times New Roman" w:hAnsi="Times New Roman" w:cs="Times New Roman"/>
                <w:b/>
                <w:bCs/>
                <w:color w:val="000000"/>
                <w:sz w:val="20"/>
                <w:szCs w:val="20"/>
                <w:lang w:val="ru-RU"/>
              </w:rPr>
            </w:pPr>
            <w:r>
              <w:rPr>
                <w:rFonts w:ascii="Times New Roman" w:hAnsi="Times New Roman" w:cs="Times New Roman"/>
                <w:sz w:val="20"/>
                <w:szCs w:val="20"/>
                <w:shd w:val="clear" w:color="auto" w:fill="FFFFFF"/>
                <w:lang w:val="ru-RU"/>
              </w:rPr>
              <w:t>База ВУОУ</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1</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54</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1987</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1987</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Наземный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Котельная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2</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hideMark/>
          </w:tcPr>
          <w:p w:rsidR="000F6AEA" w:rsidRDefault="000F6AEA" w:rsidP="000F6AEA">
            <w:pPr>
              <w:spacing w:after="0" w:line="240" w:lineRule="auto"/>
              <w:jc w:val="center"/>
            </w:pPr>
            <w:r w:rsidRPr="00084395">
              <w:rPr>
                <w:rFonts w:ascii="Times New Roman" w:hAnsi="Times New Roman" w:cs="Times New Roman"/>
                <w:color w:val="000000"/>
                <w:sz w:val="20"/>
                <w:szCs w:val="20"/>
              </w:rPr>
              <w:t>Подземный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ГСМ</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Площадка ДЭС</w:t>
            </w:r>
            <w:r w:rsidRPr="000F6AEA">
              <w:rPr>
                <w:rFonts w:ascii="Times New Roman" w:hAnsi="Times New Roman" w:cs="Times New Roman"/>
                <w:color w:val="000000"/>
                <w:sz w:val="20"/>
                <w:szCs w:val="20"/>
              </w:rPr>
              <w:t xml:space="preserve">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3</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hideMark/>
          </w:tcPr>
          <w:p w:rsidR="000F6AEA" w:rsidRDefault="000F6AEA" w:rsidP="000F6AEA">
            <w:pPr>
              <w:spacing w:after="0" w:line="240" w:lineRule="auto"/>
              <w:jc w:val="center"/>
            </w:pPr>
            <w:r w:rsidRPr="00084395">
              <w:rPr>
                <w:rFonts w:ascii="Times New Roman" w:hAnsi="Times New Roman" w:cs="Times New Roman"/>
                <w:color w:val="000000"/>
                <w:sz w:val="20"/>
                <w:szCs w:val="20"/>
              </w:rPr>
              <w:t>Подземный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ГСМ</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Площадка ДЭС</w:t>
            </w:r>
            <w:r w:rsidRPr="000F6AEA">
              <w:rPr>
                <w:rFonts w:ascii="Times New Roman" w:hAnsi="Times New Roman" w:cs="Times New Roman"/>
                <w:color w:val="000000"/>
                <w:sz w:val="20"/>
                <w:szCs w:val="20"/>
              </w:rPr>
              <w:t xml:space="preserve">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4</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3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Котельная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5</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2</w:t>
            </w:r>
            <w:r>
              <w:rPr>
                <w:rFonts w:ascii="Times New Roman" w:hAnsi="Times New Roman" w:cs="Times New Roman"/>
                <w:color w:val="000000"/>
                <w:sz w:val="20"/>
                <w:szCs w:val="20"/>
                <w:lang w:val="ru-RU"/>
              </w:rPr>
              <w:t>2</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Наземный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Котельная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6</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2</w:t>
            </w:r>
            <w:r>
              <w:rPr>
                <w:rFonts w:ascii="Times New Roman" w:hAnsi="Times New Roman" w:cs="Times New Roman"/>
                <w:color w:val="000000"/>
                <w:sz w:val="20"/>
                <w:szCs w:val="20"/>
                <w:lang w:val="ru-RU"/>
              </w:rPr>
              <w:t>2</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Наземный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Котельная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7</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25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Наземный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Котельная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328"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8</w:t>
            </w:r>
          </w:p>
        </w:tc>
        <w:tc>
          <w:tcPr>
            <w:tcW w:w="118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25 м</w:t>
            </w:r>
            <w:r w:rsidRPr="000F6AEA">
              <w:rPr>
                <w:rFonts w:ascii="Times New Roman" w:hAnsi="Times New Roman" w:cs="Times New Roman"/>
                <w:color w:val="000000"/>
                <w:sz w:val="20"/>
                <w:szCs w:val="20"/>
                <w:vertAlign w:val="superscript"/>
              </w:rPr>
              <w:t>3</w:t>
            </w:r>
          </w:p>
        </w:tc>
        <w:tc>
          <w:tcPr>
            <w:tcW w:w="1134"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Наземный</w:t>
            </w:r>
          </w:p>
        </w:tc>
        <w:tc>
          <w:tcPr>
            <w:tcW w:w="85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Котельная </w:t>
            </w:r>
          </w:p>
        </w:tc>
        <w:tc>
          <w:tcPr>
            <w:tcW w:w="1560"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0F6AEA" w:rsidRPr="000F6AEA" w:rsidTr="00A861B1">
        <w:trPr>
          <w:trHeight w:val="70"/>
        </w:trPr>
        <w:tc>
          <w:tcPr>
            <w:tcW w:w="10632" w:type="dxa"/>
            <w:gridSpan w:val="9"/>
            <w:vAlign w:val="center"/>
          </w:tcPr>
          <w:p w:rsidR="000F6AEA" w:rsidRPr="000F6AEA" w:rsidRDefault="000F6AEA" w:rsidP="000F6AEA">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НПС №11</w:t>
            </w:r>
          </w:p>
        </w:tc>
      </w:tr>
      <w:tr w:rsidR="00A861B1" w:rsidRPr="000F6AEA" w:rsidTr="00A861B1">
        <w:trPr>
          <w:trHeight w:val="70"/>
        </w:trPr>
        <w:tc>
          <w:tcPr>
            <w:tcW w:w="328"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9</w:t>
            </w:r>
          </w:p>
        </w:tc>
        <w:tc>
          <w:tcPr>
            <w:tcW w:w="1180"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12,5 м</w:t>
            </w:r>
            <w:r w:rsidRPr="000F6AEA">
              <w:rPr>
                <w:rFonts w:ascii="Times New Roman" w:hAnsi="Times New Roman" w:cs="Times New Roman"/>
                <w:color w:val="000000"/>
                <w:sz w:val="20"/>
                <w:szCs w:val="20"/>
                <w:vertAlign w:val="superscript"/>
              </w:rPr>
              <w:t>3</w:t>
            </w:r>
          </w:p>
        </w:tc>
        <w:tc>
          <w:tcPr>
            <w:tcW w:w="1134" w:type="dxa"/>
            <w:vAlign w:val="center"/>
            <w:hideMark/>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A861B1">
              <w:rPr>
                <w:rFonts w:ascii="Times New Roman" w:hAnsi="Times New Roman" w:cs="Times New Roman"/>
                <w:color w:val="000000"/>
                <w:sz w:val="20"/>
                <w:szCs w:val="20"/>
              </w:rPr>
              <w:t>Технологическая площадка</w:t>
            </w:r>
          </w:p>
        </w:tc>
        <w:tc>
          <w:tcPr>
            <w:tcW w:w="1560"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10</w:t>
            </w:r>
          </w:p>
        </w:tc>
        <w:tc>
          <w:tcPr>
            <w:tcW w:w="1180"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РГС</w:t>
            </w:r>
          </w:p>
        </w:tc>
        <w:tc>
          <w:tcPr>
            <w:tcW w:w="709"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10</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hideMark/>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hideMark/>
          </w:tcPr>
          <w:p w:rsidR="00A861B1" w:rsidRDefault="00A861B1" w:rsidP="00A861B1">
            <w:pPr>
              <w:spacing w:after="0" w:line="240" w:lineRule="auto"/>
              <w:jc w:val="center"/>
            </w:pPr>
            <w:r w:rsidRPr="00A11780">
              <w:rPr>
                <w:rFonts w:ascii="Times New Roman" w:hAnsi="Times New Roman" w:cs="Times New Roman"/>
                <w:color w:val="000000"/>
                <w:sz w:val="20"/>
                <w:szCs w:val="20"/>
              </w:rPr>
              <w:t>Наземный</w:t>
            </w:r>
          </w:p>
        </w:tc>
        <w:tc>
          <w:tcPr>
            <w:tcW w:w="850"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A861B1">
              <w:rPr>
                <w:rFonts w:ascii="Times New Roman" w:hAnsi="Times New Roman" w:cs="Times New Roman"/>
                <w:color w:val="000000"/>
                <w:sz w:val="20"/>
                <w:szCs w:val="20"/>
              </w:rPr>
              <w:t>Котельная</w:t>
            </w:r>
          </w:p>
        </w:tc>
        <w:tc>
          <w:tcPr>
            <w:tcW w:w="1560"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hideMark/>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11</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10</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tcPr>
          <w:p w:rsidR="00A861B1" w:rsidRDefault="00A861B1" w:rsidP="00A861B1">
            <w:pPr>
              <w:spacing w:after="0" w:line="240" w:lineRule="auto"/>
              <w:jc w:val="center"/>
            </w:pPr>
            <w:r w:rsidRPr="00A11780">
              <w:rPr>
                <w:rFonts w:ascii="Times New Roman" w:hAnsi="Times New Roman" w:cs="Times New Roman"/>
                <w:color w:val="000000"/>
                <w:sz w:val="20"/>
                <w:szCs w:val="20"/>
              </w:rPr>
              <w:t>Наземный</w:t>
            </w:r>
          </w:p>
        </w:tc>
        <w:tc>
          <w:tcPr>
            <w:tcW w:w="85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 xml:space="preserve">Нефть </w:t>
            </w:r>
          </w:p>
        </w:tc>
        <w:tc>
          <w:tcPr>
            <w:tcW w:w="179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A861B1">
              <w:rPr>
                <w:rFonts w:ascii="Times New Roman" w:hAnsi="Times New Roman" w:cs="Times New Roman"/>
                <w:color w:val="000000"/>
                <w:sz w:val="20"/>
                <w:szCs w:val="20"/>
              </w:rPr>
              <w:t>Котельная</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12</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2</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tcPr>
          <w:p w:rsidR="00A861B1" w:rsidRPr="000F6AEA" w:rsidRDefault="00B03489"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ГСМ</w:t>
            </w:r>
          </w:p>
        </w:tc>
        <w:tc>
          <w:tcPr>
            <w:tcW w:w="1796"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Площадка ДЭС</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13</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10</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ГСМ</w:t>
            </w:r>
          </w:p>
        </w:tc>
        <w:tc>
          <w:tcPr>
            <w:tcW w:w="1796"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АЗС</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14</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10</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ГСМ</w:t>
            </w:r>
          </w:p>
        </w:tc>
        <w:tc>
          <w:tcPr>
            <w:tcW w:w="1796"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АЗС</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15</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10</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ГСМ</w:t>
            </w:r>
          </w:p>
        </w:tc>
        <w:tc>
          <w:tcPr>
            <w:tcW w:w="1796"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АЗС</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16</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24</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Наземный</w:t>
            </w:r>
          </w:p>
        </w:tc>
        <w:tc>
          <w:tcPr>
            <w:tcW w:w="850"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Вода</w:t>
            </w:r>
          </w:p>
        </w:tc>
        <w:tc>
          <w:tcPr>
            <w:tcW w:w="1796"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Водозаборная</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r w:rsidR="00A861B1" w:rsidRPr="000F6AEA" w:rsidTr="00A861B1">
        <w:trPr>
          <w:trHeight w:val="70"/>
        </w:trPr>
        <w:tc>
          <w:tcPr>
            <w:tcW w:w="328" w:type="dxa"/>
            <w:vAlign w:val="center"/>
          </w:tcPr>
          <w:p w:rsid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17</w:t>
            </w:r>
          </w:p>
        </w:tc>
        <w:tc>
          <w:tcPr>
            <w:tcW w:w="1180" w:type="dxa"/>
          </w:tcPr>
          <w:p w:rsidR="00A861B1" w:rsidRDefault="00A861B1" w:rsidP="00A861B1">
            <w:pPr>
              <w:spacing w:after="0" w:line="240" w:lineRule="auto"/>
              <w:jc w:val="center"/>
            </w:pPr>
            <w:r w:rsidRPr="00405EAB">
              <w:rPr>
                <w:rFonts w:ascii="Times New Roman" w:hAnsi="Times New Roman" w:cs="Times New Roman"/>
                <w:color w:val="000000"/>
                <w:sz w:val="20"/>
                <w:szCs w:val="20"/>
              </w:rPr>
              <w:t>РГС</w:t>
            </w:r>
          </w:p>
        </w:tc>
        <w:tc>
          <w:tcPr>
            <w:tcW w:w="70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lang w:val="ru-RU"/>
              </w:rPr>
              <w:t>20</w:t>
            </w:r>
            <w:r w:rsidRPr="000F6AEA">
              <w:rPr>
                <w:rFonts w:ascii="Times New Roman" w:hAnsi="Times New Roman" w:cs="Times New Roman"/>
                <w:color w:val="000000"/>
                <w:sz w:val="20"/>
                <w:szCs w:val="20"/>
              </w:rPr>
              <w:t xml:space="preserve"> м</w:t>
            </w:r>
            <w:r w:rsidRPr="000F6AEA">
              <w:rPr>
                <w:rFonts w:ascii="Times New Roman" w:hAnsi="Times New Roman" w:cs="Times New Roman"/>
                <w:color w:val="000000"/>
                <w:sz w:val="20"/>
                <w:szCs w:val="20"/>
                <w:vertAlign w:val="superscript"/>
              </w:rPr>
              <w:t>3</w:t>
            </w:r>
          </w:p>
        </w:tc>
        <w:tc>
          <w:tcPr>
            <w:tcW w:w="1134"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r w:rsidRPr="000F6AEA">
              <w:rPr>
                <w:rFonts w:ascii="Times New Roman" w:hAnsi="Times New Roman" w:cs="Times New Roman"/>
                <w:color w:val="000000"/>
                <w:sz w:val="20"/>
                <w:szCs w:val="20"/>
              </w:rPr>
              <w:t>/200</w:t>
            </w:r>
            <w:r>
              <w:rPr>
                <w:rFonts w:ascii="Times New Roman" w:hAnsi="Times New Roman" w:cs="Times New Roman"/>
                <w:color w:val="000000"/>
                <w:sz w:val="20"/>
                <w:szCs w:val="20"/>
                <w:lang w:val="ru-RU"/>
              </w:rPr>
              <w:t>6</w:t>
            </w:r>
          </w:p>
        </w:tc>
        <w:tc>
          <w:tcPr>
            <w:tcW w:w="1276"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rPr>
            </w:pPr>
            <w:r w:rsidRPr="000F6AEA">
              <w:rPr>
                <w:rFonts w:ascii="Times New Roman" w:hAnsi="Times New Roman" w:cs="Times New Roman"/>
                <w:color w:val="000000"/>
                <w:sz w:val="20"/>
                <w:szCs w:val="20"/>
              </w:rPr>
              <w:t>Подземный</w:t>
            </w:r>
          </w:p>
        </w:tc>
        <w:tc>
          <w:tcPr>
            <w:tcW w:w="850"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Нефть</w:t>
            </w:r>
          </w:p>
        </w:tc>
        <w:tc>
          <w:tcPr>
            <w:tcW w:w="1796" w:type="dxa"/>
            <w:vAlign w:val="center"/>
          </w:tcPr>
          <w:p w:rsidR="00A861B1" w:rsidRPr="00A861B1" w:rsidRDefault="00A861B1" w:rsidP="00A861B1">
            <w:pPr>
              <w:spacing w:after="0" w:line="240" w:lineRule="auto"/>
              <w:ind w:left="-57" w:right="-57"/>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УППОУ №11</w:t>
            </w:r>
          </w:p>
        </w:tc>
        <w:tc>
          <w:tcPr>
            <w:tcW w:w="1560"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201</w:t>
            </w:r>
            <w:r>
              <w:rPr>
                <w:rFonts w:ascii="Times New Roman" w:hAnsi="Times New Roman" w:cs="Times New Roman"/>
                <w:color w:val="000000"/>
                <w:sz w:val="20"/>
                <w:szCs w:val="20"/>
                <w:lang w:val="ru-RU"/>
              </w:rPr>
              <w:t>9</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частичное</w:t>
            </w:r>
          </w:p>
        </w:tc>
        <w:tc>
          <w:tcPr>
            <w:tcW w:w="1799" w:type="dxa"/>
            <w:vAlign w:val="center"/>
          </w:tcPr>
          <w:p w:rsidR="00A861B1" w:rsidRPr="000F6AEA" w:rsidRDefault="00A861B1" w:rsidP="00A861B1">
            <w:pPr>
              <w:spacing w:after="0" w:line="240" w:lineRule="auto"/>
              <w:ind w:left="-57" w:right="-57"/>
              <w:jc w:val="center"/>
              <w:rPr>
                <w:rFonts w:ascii="Times New Roman" w:hAnsi="Times New Roman" w:cs="Times New Roman"/>
                <w:color w:val="000000"/>
                <w:sz w:val="20"/>
                <w:szCs w:val="20"/>
                <w:lang w:val="ru-RU"/>
              </w:rPr>
            </w:pPr>
            <w:r w:rsidRPr="000F6AEA">
              <w:rPr>
                <w:rFonts w:ascii="Times New Roman" w:hAnsi="Times New Roman" w:cs="Times New Roman"/>
                <w:color w:val="000000"/>
                <w:sz w:val="20"/>
                <w:szCs w:val="20"/>
              </w:rPr>
              <w:t>202</w:t>
            </w:r>
            <w:r>
              <w:rPr>
                <w:rFonts w:ascii="Times New Roman" w:hAnsi="Times New Roman" w:cs="Times New Roman"/>
                <w:color w:val="000000"/>
                <w:sz w:val="20"/>
                <w:szCs w:val="20"/>
                <w:lang w:val="ru-RU"/>
              </w:rPr>
              <w:t>3</w:t>
            </w:r>
            <w:r w:rsidRPr="000F6AEA">
              <w:rPr>
                <w:rFonts w:ascii="Times New Roman" w:hAnsi="Times New Roman" w:cs="Times New Roman"/>
                <w:color w:val="000000"/>
                <w:sz w:val="20"/>
                <w:szCs w:val="20"/>
              </w:rPr>
              <w:t>/</w:t>
            </w:r>
            <w:r>
              <w:rPr>
                <w:rFonts w:ascii="Times New Roman" w:hAnsi="Times New Roman" w:cs="Times New Roman"/>
                <w:color w:val="000000"/>
                <w:sz w:val="20"/>
                <w:szCs w:val="20"/>
                <w:lang w:val="ru-RU"/>
              </w:rPr>
              <w:t>полное</w:t>
            </w:r>
          </w:p>
        </w:tc>
      </w:tr>
    </w:tbl>
    <w:p w:rsidR="000F6AEA" w:rsidRDefault="000F6AEA" w:rsidP="005D7864">
      <w:pPr>
        <w:pStyle w:val="a6"/>
        <w:tabs>
          <w:tab w:val="left" w:pos="284"/>
        </w:tabs>
        <w:spacing w:before="0" w:beforeAutospacing="0" w:after="0" w:afterAutospacing="0"/>
        <w:jc w:val="both"/>
        <w:rPr>
          <w:color w:val="000000" w:themeColor="text1"/>
        </w:rPr>
      </w:pPr>
    </w:p>
    <w:p w:rsidR="000F6AEA" w:rsidRDefault="000F6AEA" w:rsidP="005D7864">
      <w:pPr>
        <w:pStyle w:val="a6"/>
        <w:tabs>
          <w:tab w:val="left" w:pos="284"/>
        </w:tabs>
        <w:spacing w:before="0" w:beforeAutospacing="0" w:after="0" w:afterAutospacing="0"/>
        <w:jc w:val="both"/>
        <w:rPr>
          <w:color w:val="000000" w:themeColor="text1"/>
        </w:rPr>
      </w:pPr>
    </w:p>
    <w:p w:rsidR="000F6AEA" w:rsidRDefault="000F6AEA" w:rsidP="005D7864">
      <w:pPr>
        <w:pStyle w:val="a6"/>
        <w:tabs>
          <w:tab w:val="left" w:pos="284"/>
        </w:tabs>
        <w:spacing w:before="0" w:beforeAutospacing="0" w:after="0" w:afterAutospacing="0"/>
        <w:jc w:val="both"/>
        <w:rPr>
          <w:color w:val="000000" w:themeColor="text1"/>
        </w:rPr>
      </w:pPr>
    </w:p>
    <w:p w:rsidR="005D7864" w:rsidRDefault="005D7864">
      <w:pPr>
        <w:rPr>
          <w:lang w:val="ru-RU"/>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537"/>
        <w:gridCol w:w="7229"/>
      </w:tblGrid>
      <w:tr w:rsidR="005D7864" w:rsidRPr="005D7864" w:rsidTr="005D7864">
        <w:trPr>
          <w:trHeight w:val="70"/>
        </w:trPr>
        <w:tc>
          <w:tcPr>
            <w:tcW w:w="5000" w:type="pct"/>
            <w:gridSpan w:val="3"/>
            <w:vAlign w:val="center"/>
          </w:tcPr>
          <w:p w:rsidR="005D7864" w:rsidRPr="005D7864" w:rsidRDefault="005D7864" w:rsidP="005D7864">
            <w:pPr>
              <w:tabs>
                <w:tab w:val="left" w:pos="1560"/>
              </w:tabs>
              <w:spacing w:after="0" w:line="240" w:lineRule="auto"/>
              <w:ind w:left="-57" w:right="-57"/>
              <w:jc w:val="center"/>
              <w:rPr>
                <w:rFonts w:ascii="Times New Roman" w:eastAsia="SimSun" w:hAnsi="Times New Roman" w:cs="Times New Roman"/>
                <w:b/>
                <w:color w:val="000000"/>
                <w:sz w:val="24"/>
                <w:szCs w:val="24"/>
                <w:lang w:val="ru-RU" w:eastAsia="ru-RU"/>
              </w:rPr>
            </w:pPr>
            <w:r w:rsidRPr="005D7864">
              <w:rPr>
                <w:rFonts w:ascii="Times New Roman" w:eastAsia="SimSun" w:hAnsi="Times New Roman" w:cs="Times New Roman"/>
                <w:b/>
                <w:color w:val="000000"/>
                <w:sz w:val="24"/>
                <w:szCs w:val="24"/>
                <w:lang w:val="ru-RU" w:eastAsia="ru-RU"/>
              </w:rPr>
              <w:t>Условия оказания услуг</w:t>
            </w:r>
          </w:p>
        </w:tc>
      </w:tr>
      <w:tr w:rsidR="005D7864" w:rsidRPr="00E11155" w:rsidTr="005D7864">
        <w:trPr>
          <w:trHeight w:val="1537"/>
        </w:trPr>
        <w:tc>
          <w:tcPr>
            <w:tcW w:w="216" w:type="pct"/>
            <w:vAlign w:val="center"/>
          </w:tcPr>
          <w:p w:rsidR="005D7864" w:rsidRPr="005D7864" w:rsidRDefault="005D7864" w:rsidP="005D7864">
            <w:pPr>
              <w:tabs>
                <w:tab w:val="left" w:pos="1560"/>
              </w:tabs>
              <w:spacing w:after="0" w:line="240" w:lineRule="auto"/>
              <w:ind w:left="-57" w:right="-57"/>
              <w:jc w:val="both"/>
              <w:rPr>
                <w:rFonts w:ascii="Times New Roman" w:eastAsia="SimSun" w:hAnsi="Times New Roman" w:cs="Times New Roman"/>
                <w:b/>
                <w:color w:val="000000"/>
                <w:sz w:val="24"/>
                <w:szCs w:val="24"/>
                <w:lang w:val="ru-RU" w:eastAsia="ru-RU"/>
              </w:rPr>
            </w:pPr>
            <w:r w:rsidRPr="005D7864">
              <w:rPr>
                <w:rFonts w:ascii="Times New Roman" w:eastAsia="SimSun" w:hAnsi="Times New Roman" w:cs="Times New Roman"/>
                <w:b/>
                <w:color w:val="000000"/>
                <w:sz w:val="24"/>
                <w:szCs w:val="24"/>
                <w:lang w:val="ru-RU" w:eastAsia="ru-RU"/>
              </w:rPr>
              <w:t>1</w:t>
            </w:r>
            <w:r>
              <w:rPr>
                <w:rFonts w:ascii="Times New Roman" w:eastAsia="SimSun" w:hAnsi="Times New Roman" w:cs="Times New Roman"/>
                <w:b/>
                <w:color w:val="000000"/>
                <w:sz w:val="24"/>
                <w:szCs w:val="24"/>
                <w:lang w:val="ru-RU" w:eastAsia="ru-RU"/>
              </w:rPr>
              <w:t>.</w:t>
            </w:r>
          </w:p>
        </w:tc>
        <w:tc>
          <w:tcPr>
            <w:tcW w:w="1243" w:type="pct"/>
            <w:shd w:val="clear" w:color="auto" w:fill="auto"/>
            <w:vAlign w:val="center"/>
          </w:tcPr>
          <w:p w:rsidR="005D7864" w:rsidRPr="005D7864" w:rsidRDefault="005D7864" w:rsidP="005D7864">
            <w:pPr>
              <w:tabs>
                <w:tab w:val="left" w:pos="1560"/>
              </w:tabs>
              <w:spacing w:after="0" w:line="240" w:lineRule="auto"/>
              <w:ind w:left="-57" w:right="-57"/>
              <w:jc w:val="both"/>
              <w:rPr>
                <w:rFonts w:ascii="Times New Roman" w:eastAsia="SimSun" w:hAnsi="Times New Roman" w:cs="Times New Roman"/>
                <w:b/>
                <w:color w:val="000000"/>
                <w:sz w:val="24"/>
                <w:szCs w:val="24"/>
                <w:lang w:val="ru-RU" w:eastAsia="ru-RU"/>
              </w:rPr>
            </w:pPr>
            <w:r w:rsidRPr="005D7864">
              <w:rPr>
                <w:rFonts w:ascii="Times New Roman" w:eastAsia="SimSun" w:hAnsi="Times New Roman" w:cs="Times New Roman"/>
                <w:b/>
                <w:color w:val="000000"/>
                <w:sz w:val="24"/>
                <w:szCs w:val="24"/>
                <w:lang w:val="ru-RU" w:eastAsia="ru-RU"/>
              </w:rPr>
              <w:t>Цель оказания услуг:</w:t>
            </w:r>
          </w:p>
        </w:tc>
        <w:tc>
          <w:tcPr>
            <w:tcW w:w="3541" w:type="pct"/>
            <w:shd w:val="clear" w:color="auto" w:fill="auto"/>
          </w:tcPr>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определение технического состояния резервуаров АЗС, РГС и емкостей вспомогательных систем;</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определение остаточного ресурса и продление срока службы безопасной эксплуатации;</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выдача экспертного заключения о техническом состоянии и остаточном ресурсе.</w:t>
            </w:r>
          </w:p>
        </w:tc>
      </w:tr>
      <w:tr w:rsidR="005D7864" w:rsidRPr="00E11155" w:rsidTr="005D7864">
        <w:trPr>
          <w:trHeight w:val="883"/>
        </w:trPr>
        <w:tc>
          <w:tcPr>
            <w:tcW w:w="216" w:type="pct"/>
            <w:vAlign w:val="center"/>
          </w:tcPr>
          <w:p w:rsidR="005D7864" w:rsidRPr="005D7864" w:rsidRDefault="005D7864" w:rsidP="005D7864">
            <w:pPr>
              <w:tabs>
                <w:tab w:val="left" w:pos="1560"/>
              </w:tabs>
              <w:spacing w:after="0" w:line="240" w:lineRule="auto"/>
              <w:ind w:left="-57" w:right="-57"/>
              <w:jc w:val="both"/>
              <w:rPr>
                <w:rFonts w:ascii="Times New Roman" w:eastAsia="SimSun" w:hAnsi="Times New Roman" w:cs="Times New Roman"/>
                <w:b/>
                <w:color w:val="000000"/>
                <w:sz w:val="24"/>
                <w:szCs w:val="24"/>
                <w:lang w:val="ru-RU" w:eastAsia="ru-RU"/>
              </w:rPr>
            </w:pPr>
            <w:r w:rsidRPr="005D7864">
              <w:rPr>
                <w:rFonts w:ascii="Times New Roman" w:eastAsia="SimSun" w:hAnsi="Times New Roman" w:cs="Times New Roman"/>
                <w:b/>
                <w:color w:val="000000"/>
                <w:sz w:val="24"/>
                <w:szCs w:val="24"/>
                <w:lang w:val="ru-RU" w:eastAsia="ru-RU"/>
              </w:rPr>
              <w:t>2</w:t>
            </w:r>
            <w:r>
              <w:rPr>
                <w:rFonts w:ascii="Times New Roman" w:eastAsia="SimSun" w:hAnsi="Times New Roman" w:cs="Times New Roman"/>
                <w:b/>
                <w:color w:val="000000"/>
                <w:sz w:val="24"/>
                <w:szCs w:val="24"/>
                <w:lang w:val="ru-RU" w:eastAsia="ru-RU"/>
              </w:rPr>
              <w:t>.</w:t>
            </w:r>
          </w:p>
        </w:tc>
        <w:tc>
          <w:tcPr>
            <w:tcW w:w="1243" w:type="pct"/>
            <w:shd w:val="clear" w:color="auto" w:fill="auto"/>
            <w:vAlign w:val="center"/>
          </w:tcPr>
          <w:p w:rsidR="005D7864" w:rsidRPr="005D7864" w:rsidRDefault="005D7864" w:rsidP="005D7864">
            <w:pPr>
              <w:tabs>
                <w:tab w:val="left" w:pos="1560"/>
              </w:tabs>
              <w:spacing w:after="0" w:line="240" w:lineRule="auto"/>
              <w:ind w:left="-57" w:right="-57"/>
              <w:jc w:val="both"/>
              <w:rPr>
                <w:rFonts w:ascii="Times New Roman" w:eastAsia="SimSun" w:hAnsi="Times New Roman" w:cs="Times New Roman"/>
                <w:b/>
                <w:color w:val="000000"/>
                <w:sz w:val="24"/>
                <w:szCs w:val="24"/>
                <w:lang w:val="ru-RU" w:eastAsia="ru-RU"/>
              </w:rPr>
            </w:pPr>
            <w:r w:rsidRPr="005D7864">
              <w:rPr>
                <w:rFonts w:ascii="Times New Roman" w:eastAsia="SimSun" w:hAnsi="Times New Roman" w:cs="Times New Roman"/>
                <w:b/>
                <w:color w:val="000000"/>
                <w:sz w:val="24"/>
                <w:szCs w:val="24"/>
                <w:lang w:val="ru-RU" w:eastAsia="ru-RU"/>
              </w:rPr>
              <w:t>Состав и содержание оказываемых услуг.</w:t>
            </w:r>
          </w:p>
        </w:tc>
        <w:tc>
          <w:tcPr>
            <w:tcW w:w="3541" w:type="pct"/>
            <w:shd w:val="clear" w:color="auto" w:fill="auto"/>
          </w:tcPr>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Работа по обследованию резервуаров</w:t>
            </w:r>
            <w:r w:rsidRPr="005D7864">
              <w:rPr>
                <w:rFonts w:ascii="Times New Roman" w:hAnsi="Times New Roman" w:cs="Times New Roman"/>
                <w:sz w:val="24"/>
                <w:szCs w:val="24"/>
                <w:lang w:val="ru-RU"/>
              </w:rPr>
              <w:t xml:space="preserve"> </w:t>
            </w:r>
            <w:r w:rsidRPr="005D7864">
              <w:rPr>
                <w:rFonts w:ascii="Times New Roman" w:eastAsia="SimSun" w:hAnsi="Times New Roman" w:cs="Times New Roman"/>
                <w:color w:val="000000"/>
                <w:sz w:val="24"/>
                <w:szCs w:val="24"/>
                <w:lang w:val="ru-RU" w:eastAsia="ru-RU"/>
              </w:rPr>
              <w:t>АЗС, РГС и емкостей вспомогательных систем состоит из двух этапов (полевой, составление технического отчета и экспертного заключения по промышленной безопасности) и в том числе предусматривает, но не ограничивается нижеследующим:</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анализ эксплуатационной, конструкторской (проектной) и ремонтной документации;</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неразрушающий контроль;</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оценка фактических значений прочностных характеристик металла стенки методом</w:t>
            </w:r>
            <w:r>
              <w:rPr>
                <w:rFonts w:ascii="Times New Roman" w:eastAsia="SimSun" w:hAnsi="Times New Roman" w:cs="Times New Roman"/>
                <w:color w:val="000000"/>
                <w:sz w:val="24"/>
                <w:szCs w:val="24"/>
                <w:lang w:val="ru-RU" w:eastAsia="ru-RU"/>
              </w:rPr>
              <w:t xml:space="preserve"> </w:t>
            </w:r>
            <w:r w:rsidRPr="005D7864">
              <w:rPr>
                <w:rFonts w:ascii="Times New Roman" w:eastAsia="SimSun" w:hAnsi="Times New Roman" w:cs="Times New Roman"/>
                <w:color w:val="000000"/>
                <w:sz w:val="24"/>
                <w:szCs w:val="24"/>
                <w:lang w:val="ru-RU" w:eastAsia="ru-RU"/>
              </w:rPr>
              <w:t>твердометрии, выявление участков деформационного упрочнения основного метала и сварных швов, оценка соответствия механических свойств (твердости) требованиям нормативных документов, предъявляемых к сталям;</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определение химического состава материалов;</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оценка коррозии, износа и других дефектов;</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определение состояния опор и фундамента ёмкости (в том числе плотность прилегания опор корпуса ёмкости к опорам, фундаменту, целостность, отсутствие просадки, трещин, разломов, прогибов, искривления, расслоения, нарушения защитного слоя, увлажнения и разрушения, сколов фундамента);</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испытания на прочность и другие виды испытаний;</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расчетно-аналитические процедуры оценки и прогнозирования технического состояния, включающие:</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установление критериев предельного состояния;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исследование напряженно-деформированного состояния и выбор критериев предельных состояний;</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определение остаточного срока эксплуатации (до прогнозируемого наступления предельного состояния);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составление дубликата паспорта на техническое устройство при его отсутствии.</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Получение необходимых согласований и разрешений на производство работ, подготовка к безопасному проведению работ в соответствии с действующими нормативными документами.</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Программа по обследованию резервуаров АЗС, РГС и емкостей вспомогательных систем должна включать описание технологии, приборов, оборудования, материалов, объемов работ, календарного графика оказания услуг (с учетом выдачи экспертного заключения по промышленной безопасности для определения возможного срока их дальнейшей безопасной эксплуатации), а также включающую в себя: </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lastRenderedPageBreak/>
              <w:t xml:space="preserve">- визуально-измерительный контроль, контроль толщины стенки с помощью ультразвука, ультразвуковой контроль, измерение твердости переносными приборами, контроль проникающими веществами, </w:t>
            </w:r>
            <w:proofErr w:type="spellStart"/>
            <w:r w:rsidRPr="005D7864">
              <w:rPr>
                <w:rFonts w:ascii="Times New Roman" w:eastAsia="SimSun" w:hAnsi="Times New Roman" w:cs="Times New Roman"/>
                <w:color w:val="000000"/>
                <w:sz w:val="24"/>
                <w:szCs w:val="24"/>
                <w:lang w:val="ru-RU" w:eastAsia="ru-RU"/>
              </w:rPr>
              <w:t>магнитнопорошковый</w:t>
            </w:r>
            <w:proofErr w:type="spellEnd"/>
            <w:r w:rsidRPr="005D7864">
              <w:rPr>
                <w:rFonts w:ascii="Times New Roman" w:eastAsia="SimSun" w:hAnsi="Times New Roman" w:cs="Times New Roman"/>
                <w:color w:val="000000"/>
                <w:sz w:val="24"/>
                <w:szCs w:val="24"/>
                <w:lang w:val="ru-RU" w:eastAsia="ru-RU"/>
              </w:rPr>
              <w:t xml:space="preserve"> контроль, радиографический контроль, спектральный анализ и способов выполнения работ по дефектоскопии или диагностированию с целью обнаружения дефектов на ранней стадии их развития; </w:t>
            </w:r>
          </w:p>
          <w:p w:rsidR="005D7864" w:rsidRPr="005D7864" w:rsidRDefault="005D7864" w:rsidP="005D7864">
            <w:pPr>
              <w:tabs>
                <w:tab w:val="left" w:pos="457"/>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разработку карты обследования оборудования (при необходимости); </w:t>
            </w:r>
          </w:p>
          <w:p w:rsidR="005D7864" w:rsidRPr="005D7864" w:rsidRDefault="005D7864" w:rsidP="005D7864">
            <w:pPr>
              <w:tabs>
                <w:tab w:val="left" w:pos="457"/>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определение номенклатуры измеряемых параметров и механических характеристик материала, необходимых для выполнения расчетов на прочность и прогнозирования остаточного ресурса; </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определение остаточного ресурса резервуаров и емкостей вспомогательных систем по критериям допустимого коррозионного износа и малоцикловой усталости металла.</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Объем работ в вышеуказанной программе должен соответствовать Правилам обеспечения промышленной безопасности при эксплуатации и ремонте резервуаров для нефти и нефтепродуктов, утвержденные приказом Министра по чрезвычайным ситуациям Республики Казахстан от 15 июня 2021 года № 286, СТ 6636-1901-АО-039-4.017-2017 «Магистральные трубопроводы. Обеспечение надежности технологического оборудования», ГОСТ 17032-2010 «Резервуары стальные горизонтальные для нефтепродуктов. Технические условия», СТ 6636-1901-АО-039-4.017-2017 «Магистральные трубопроводы. Обеспечение надежности технологического оборудования», СТ 6636-1901-АО-039-4.013-2017 «Магистральные нефтепроводы. Оборудование и сооружения нефтеперекачивающих станций. Эксплуатация, техническое обслуживание и ремонт» но не ограничиваясь. Контроль дополнительных участков, где зарегистрированы коррозии с потерей металла превышающих норм и в других аналогичных случаях где выявляются дефекты металла и сварных соединении, чтобы составить полное представление картины и анализ при диагностике резервуаров.</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В программе по обследованию резервуаров и емкостей вспомогательных систем должны быть указаны специалисты согласно перечня привлекаемых работников (рассмотренного на стадии тендерных процедур) включающиеся в себя: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дефектоскопист III уровня контроля (количество не менее 1, с опытом работы 5 лет). Сертификат и/или удостоверение в соответствии с СТ РК ISО 9712 «Контроль неразрушающий. Квалификация и сертификация персонала по неразрушающему контролю»: визуально-измерительный контроль, ультразвуковой контроль, радиографический контроль, магнитопорошковый контроль, контроль проникающими веществами выданный органом по подтверждению соответствия персонала (ОПС-П) неразрушающего контроля, аккредитованным в соответствии с требованиями ГОСТ ISO/IEC 17024.</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lastRenderedPageBreak/>
              <w:t>Документ, подтверждающий опыт работы (согласно статьи 35 Трудового кодекса РК);</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дефектоскопист II уровня контроля (количество не менее 5, с опытом работы не менее 3 года). Сертификат и/или удостоверение в соответствии с СТ РК ISО 9712 «Контроль неразрушающий. Квалификация и сертификация персонала по неразрушающему контролю»: визуально-измерительному, ультразвуковому, радиографическому, магнитопорошковому, проникающими веществами выданный органом по подтверждению соответствия персонала (ОПС-П) неразрушающего контроля, аккредитованным в соответствии с требованиями ГОСТ ISO/IEC 17024.</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Документ, подтверждающий опыт работы (согласно статьи 35 Трудового кодекса РК);</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дефектоскопист II уровня контроля (количество не менее 1, с опытом работы не менее 3 года) Сертификат и/или удостоверение по неразрушающему контролю: по металлографическому анализу, методу измерения твердости, методу определения содержания элементов.</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Документ, подтверждающий опыт работы (согласно статьи 35 Трудового кодекса РК);</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геодезист (количество 1, с опытом работы не менее 3 года). Электронная копия диплома о высшем образовании по специальности «Геодезия и картография и/или Геодезия».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Документ, подтверждающий опыт работы (согласно статьи 35 Трудового кодекса РК);</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Все сопутствующие работы (в том числе земляные) по вскрытию, очистке (в том числе пропарка внутренней полости), подготовке поверхности элементов конструкции и сварных соединений резервуаров и емкостей вспомогательных систем для проведения неразрушающего контроля, а также восстановление защитных покрытий после обследования путем нанесения полимерных покрытий и обратная засыпка рабочих котлованов проводится силами Исполнителя. Исполнитель перед началом полевых работ предоставляет список средств измерений и испытательного оборудования (сведения предоставить в установленной форме согласно Приложения Б стандарта СТ РК 1041-2001) и наличие необходимых приборов, устройств для выполнения услуг (паспорт и/или руководство и/или инструкцию по эксплуатации) на:</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набор для визуально-измерительного контроля;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ультразвуковой дефектоскоп; </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комплект </w:t>
            </w:r>
            <w:proofErr w:type="spellStart"/>
            <w:r w:rsidRPr="005D7864">
              <w:rPr>
                <w:rFonts w:ascii="Times New Roman" w:eastAsia="SimSun" w:hAnsi="Times New Roman" w:cs="Times New Roman"/>
                <w:color w:val="000000"/>
                <w:sz w:val="24"/>
                <w:szCs w:val="24"/>
                <w:lang w:val="ru-RU" w:eastAsia="ru-RU"/>
              </w:rPr>
              <w:t>пенетрантов</w:t>
            </w:r>
            <w:proofErr w:type="spellEnd"/>
            <w:r w:rsidRPr="005D7864">
              <w:rPr>
                <w:rFonts w:ascii="Times New Roman" w:eastAsia="SimSun" w:hAnsi="Times New Roman" w:cs="Times New Roman"/>
                <w:color w:val="000000"/>
                <w:sz w:val="24"/>
                <w:szCs w:val="24"/>
                <w:lang w:val="ru-RU" w:eastAsia="ru-RU"/>
              </w:rPr>
              <w:t xml:space="preserve">; </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w:t>
            </w:r>
            <w:proofErr w:type="spellStart"/>
            <w:r w:rsidRPr="005D7864">
              <w:rPr>
                <w:rFonts w:ascii="Times New Roman" w:eastAsia="SimSun" w:hAnsi="Times New Roman" w:cs="Times New Roman"/>
                <w:color w:val="000000"/>
                <w:sz w:val="24"/>
                <w:szCs w:val="24"/>
                <w:lang w:val="ru-RU" w:eastAsia="ru-RU"/>
              </w:rPr>
              <w:t>толщиномер</w:t>
            </w:r>
            <w:proofErr w:type="spellEnd"/>
            <w:r w:rsidRPr="005D7864">
              <w:rPr>
                <w:rFonts w:ascii="Times New Roman" w:eastAsia="SimSun" w:hAnsi="Times New Roman" w:cs="Times New Roman"/>
                <w:color w:val="000000"/>
                <w:sz w:val="24"/>
                <w:szCs w:val="24"/>
                <w:lang w:val="ru-RU" w:eastAsia="ru-RU"/>
              </w:rPr>
              <w:t xml:space="preserve"> ультразвуковой;</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твердомер;</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магнитные клещи и/или переносное намагничивающее устройство;</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установка для контроля герметичности;</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геодезическое оборудование (нивелир, теодолит);</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рентгеновский аппарат;</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 </w:t>
            </w:r>
            <w:proofErr w:type="spellStart"/>
            <w:r w:rsidRPr="005D7864">
              <w:rPr>
                <w:rFonts w:ascii="Times New Roman" w:eastAsia="SimSun" w:hAnsi="Times New Roman" w:cs="Times New Roman"/>
                <w:color w:val="000000"/>
                <w:sz w:val="24"/>
                <w:szCs w:val="24"/>
                <w:lang w:val="ru-RU" w:eastAsia="ru-RU"/>
              </w:rPr>
              <w:t>стилоскоп</w:t>
            </w:r>
            <w:proofErr w:type="spellEnd"/>
            <w:r w:rsidRPr="005D7864">
              <w:rPr>
                <w:rFonts w:ascii="Times New Roman" w:eastAsia="SimSun" w:hAnsi="Times New Roman" w:cs="Times New Roman"/>
                <w:color w:val="000000"/>
                <w:sz w:val="24"/>
                <w:szCs w:val="24"/>
                <w:lang w:val="ru-RU" w:eastAsia="ru-RU"/>
              </w:rPr>
              <w:t xml:space="preserve"> и/или спектрометр (метод спектрального анализа);</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lastRenderedPageBreak/>
              <w:t>- микроскоп металлографический, переносное оборудование для подготовки шлифов,</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strike/>
                <w:color w:val="FF0000"/>
                <w:sz w:val="24"/>
                <w:szCs w:val="24"/>
                <w:lang w:val="ru-RU"/>
              </w:rPr>
            </w:pPr>
            <w:r w:rsidRPr="005D7864">
              <w:rPr>
                <w:rFonts w:ascii="Times New Roman" w:eastAsia="SimSun" w:hAnsi="Times New Roman" w:cs="Times New Roman"/>
                <w:color w:val="000000"/>
                <w:sz w:val="24"/>
                <w:szCs w:val="24"/>
                <w:lang w:val="ru-RU" w:eastAsia="ru-RU"/>
              </w:rPr>
              <w:t>с приложением сертификатов поверки/калибровки средств измерений</w:t>
            </w:r>
            <w:r w:rsidRPr="005D7864">
              <w:rPr>
                <w:rFonts w:ascii="Times New Roman" w:hAnsi="Times New Roman" w:cs="Times New Roman"/>
                <w:sz w:val="24"/>
                <w:szCs w:val="24"/>
                <w:lang w:val="ru-RU"/>
              </w:rPr>
              <w:t xml:space="preserve"> </w:t>
            </w:r>
            <w:r w:rsidRPr="005D7864">
              <w:rPr>
                <w:rFonts w:ascii="Times New Roman" w:eastAsia="SimSun" w:hAnsi="Times New Roman" w:cs="Times New Roman"/>
                <w:color w:val="000000"/>
                <w:sz w:val="24"/>
                <w:szCs w:val="24"/>
                <w:lang w:val="ru-RU" w:eastAsia="ru-RU"/>
              </w:rPr>
              <w:t>и сертификатов об аттестации испытательного оборудования, действующих на территории Республики Казахстан.</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Транспортные (по перевозке специалистов и бригад), погрузоразгрузочные и другие работы, связанные с использованием автокранов и др. спецтехники, проживание, питание, международные и междугородние переговоры Исполнитель производит самостоятельно и за свой счет.</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Все возможные расходы, связанные ввозом и обратным вывозом оборудования Исполнителя, осуществляет за свой счет.</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Все возможные расходы, связанные ввозом/вывозом оборудования, отходов (образовавшихся в процессе оказания услуг по обследованию резервуаров и емкостей вспомогательных систем) осуществляются за счет Исполнителя.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После окончания полевых работ Исполнитель передает Заказчику экспертное заключение по промышленной безопасности на каждый резервуар АЗГ, РГС и емкость вспомогательных систем, оформленное в объеме методических рекомендации по проведению экспертизы промышленной безопасности от 24 мая 2010 года №15, а также технические отчеты, содержащие результаты экспертизы по каждому резервуару и емкости вспомогательных систем в соответствии с СТ 6636-1901-АО-039-4.017-2017 «Магистральные трубопроводы. Обеспечение надежности технологического оборудования», СТ 6636-1901-АО-039-4.022-2018 «Магистральные нефтепроводы. Резервуары. Техническая эксплуатация».</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 xml:space="preserve">Экспертные заключения по промышленной безопасности и технические отчеты по обследованию резервуаров и емкостей вспомогательных систем представляются в 3 (трех) экземплярах в бумажном варианте и в 3 (трех) экземплярах на электронном носителе (USB </w:t>
            </w:r>
            <w:proofErr w:type="spellStart"/>
            <w:r w:rsidRPr="005D7864">
              <w:rPr>
                <w:rFonts w:ascii="Times New Roman" w:eastAsia="SimSun" w:hAnsi="Times New Roman" w:cs="Times New Roman"/>
                <w:color w:val="000000"/>
                <w:sz w:val="24"/>
                <w:szCs w:val="24"/>
                <w:lang w:val="ru-RU" w:eastAsia="ru-RU"/>
              </w:rPr>
              <w:t>flash</w:t>
            </w:r>
            <w:proofErr w:type="spellEnd"/>
            <w:r w:rsidRPr="005D7864">
              <w:rPr>
                <w:rFonts w:ascii="Times New Roman" w:eastAsia="SimSun" w:hAnsi="Times New Roman" w:cs="Times New Roman"/>
                <w:color w:val="000000"/>
                <w:sz w:val="24"/>
                <w:szCs w:val="24"/>
                <w:lang w:val="ru-RU" w:eastAsia="ru-RU"/>
              </w:rPr>
              <w:t xml:space="preserve"> </w:t>
            </w:r>
            <w:proofErr w:type="spellStart"/>
            <w:r w:rsidRPr="005D7864">
              <w:rPr>
                <w:rFonts w:ascii="Times New Roman" w:eastAsia="SimSun" w:hAnsi="Times New Roman" w:cs="Times New Roman"/>
                <w:color w:val="000000"/>
                <w:sz w:val="24"/>
                <w:szCs w:val="24"/>
                <w:lang w:val="ru-RU" w:eastAsia="ru-RU"/>
              </w:rPr>
              <w:t>drive</w:t>
            </w:r>
            <w:proofErr w:type="spellEnd"/>
            <w:r w:rsidRPr="005D7864">
              <w:rPr>
                <w:rFonts w:ascii="Times New Roman" w:eastAsia="SimSun" w:hAnsi="Times New Roman" w:cs="Times New Roman"/>
                <w:color w:val="000000"/>
                <w:sz w:val="24"/>
                <w:szCs w:val="24"/>
                <w:lang w:val="ru-RU" w:eastAsia="ru-RU"/>
              </w:rPr>
              <w:t xml:space="preserve">) отдельно на каждый резервуар и емкость вспомогательных систем. В заключении необходимо представить (в т.ч. на электронном носителе) фотографии элементов резервуаров и емкостей вспомогательных систем, фундамента, дефектных мест, схемы расположения дефектов с их размерами. Графическая часть заключительного отчета представляется в </w:t>
            </w:r>
            <w:proofErr w:type="spellStart"/>
            <w:r w:rsidRPr="005D7864">
              <w:rPr>
                <w:rFonts w:ascii="Times New Roman" w:eastAsia="SimSun" w:hAnsi="Times New Roman" w:cs="Times New Roman"/>
                <w:color w:val="000000"/>
                <w:sz w:val="24"/>
                <w:szCs w:val="24"/>
                <w:lang w:val="ru-RU" w:eastAsia="ru-RU"/>
              </w:rPr>
              <w:t>Microsoft</w:t>
            </w:r>
            <w:proofErr w:type="spellEnd"/>
            <w:r w:rsidRPr="005D7864">
              <w:rPr>
                <w:rFonts w:ascii="Times New Roman" w:eastAsia="SimSun" w:hAnsi="Times New Roman" w:cs="Times New Roman"/>
                <w:color w:val="000000"/>
                <w:sz w:val="24"/>
                <w:szCs w:val="24"/>
                <w:lang w:val="ru-RU" w:eastAsia="ru-RU"/>
              </w:rPr>
              <w:t xml:space="preserve"> </w:t>
            </w:r>
            <w:proofErr w:type="spellStart"/>
            <w:r w:rsidRPr="005D7864">
              <w:rPr>
                <w:rFonts w:ascii="Times New Roman" w:eastAsia="SimSun" w:hAnsi="Times New Roman" w:cs="Times New Roman"/>
                <w:color w:val="000000"/>
                <w:sz w:val="24"/>
                <w:szCs w:val="24"/>
                <w:lang w:val="ru-RU" w:eastAsia="ru-RU"/>
              </w:rPr>
              <w:t>Visio</w:t>
            </w:r>
            <w:proofErr w:type="spellEnd"/>
            <w:r w:rsidRPr="005D7864">
              <w:rPr>
                <w:rFonts w:ascii="Times New Roman" w:eastAsia="SimSun" w:hAnsi="Times New Roman" w:cs="Times New Roman"/>
                <w:color w:val="000000"/>
                <w:sz w:val="24"/>
                <w:szCs w:val="24"/>
                <w:lang w:val="ru-RU" w:eastAsia="ru-RU"/>
              </w:rPr>
              <w:t>.</w:t>
            </w:r>
          </w:p>
          <w:p w:rsidR="005D7864" w:rsidRPr="005D7864" w:rsidRDefault="005D7864" w:rsidP="005D7864">
            <w:pPr>
              <w:tabs>
                <w:tab w:val="left" w:pos="1560"/>
              </w:tabs>
              <w:spacing w:after="0" w:line="240" w:lineRule="auto"/>
              <w:ind w:left="-57" w:right="-57" w:firstLine="284"/>
              <w:jc w:val="both"/>
              <w:rPr>
                <w:rFonts w:ascii="Times New Roman" w:eastAsia="SimSun" w:hAnsi="Times New Roman" w:cs="Times New Roman"/>
                <w:color w:val="000000"/>
                <w:sz w:val="24"/>
                <w:szCs w:val="24"/>
                <w:lang w:val="ru-RU" w:eastAsia="ru-RU"/>
              </w:rPr>
            </w:pPr>
            <w:r w:rsidRPr="005D7864">
              <w:rPr>
                <w:rFonts w:ascii="Times New Roman" w:eastAsia="SimSun" w:hAnsi="Times New Roman" w:cs="Times New Roman"/>
                <w:color w:val="000000"/>
                <w:sz w:val="24"/>
                <w:szCs w:val="24"/>
                <w:lang w:val="ru-RU" w:eastAsia="ru-RU"/>
              </w:rPr>
              <w:t>Исполнитель может дополнить вышеуказанный порядок  оформления своими дополнительными  предложениями.</w:t>
            </w:r>
          </w:p>
        </w:tc>
      </w:tr>
    </w:tbl>
    <w:p w:rsidR="005D7864" w:rsidRPr="00585B92" w:rsidRDefault="005D7864">
      <w:pPr>
        <w:rPr>
          <w:lang w:val="ru-RU"/>
        </w:rPr>
      </w:pPr>
    </w:p>
    <w:sectPr w:rsidR="005D7864" w:rsidRPr="00585B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019AE"/>
    <w:multiLevelType w:val="multilevel"/>
    <w:tmpl w:val="CD642D42"/>
    <w:lvl w:ilvl="0">
      <w:start w:val="1"/>
      <w:numFmt w:val="decimal"/>
      <w:lvlText w:val="%1."/>
      <w:lvlJc w:val="left"/>
      <w:pPr>
        <w:ind w:left="720" w:hanging="360"/>
      </w:pPr>
      <w:rPr>
        <w:rFonts w:hint="default"/>
        <w:b w:val="0"/>
        <w:sz w:val="26"/>
        <w:szCs w:val="26"/>
      </w:rPr>
    </w:lvl>
    <w:lvl w:ilvl="1">
      <w:start w:val="1"/>
      <w:numFmt w:val="decimal"/>
      <w:isLgl/>
      <w:lvlText w:val="%1.%2."/>
      <w:lvlJc w:val="left"/>
      <w:pPr>
        <w:ind w:left="1099" w:hanging="390"/>
      </w:pPr>
      <w:rPr>
        <w:rFonts w:hint="default"/>
        <w:b w:val="0"/>
        <w:sz w:val="26"/>
      </w:rPr>
    </w:lvl>
    <w:lvl w:ilvl="2">
      <w:start w:val="1"/>
      <w:numFmt w:val="decimal"/>
      <w:isLgl/>
      <w:lvlText w:val="%1.%2.%3."/>
      <w:lvlJc w:val="left"/>
      <w:pPr>
        <w:ind w:left="1778" w:hanging="720"/>
      </w:pPr>
      <w:rPr>
        <w:rFonts w:hint="default"/>
        <w:b/>
        <w:sz w:val="26"/>
      </w:rPr>
    </w:lvl>
    <w:lvl w:ilvl="3">
      <w:start w:val="1"/>
      <w:numFmt w:val="decimal"/>
      <w:isLgl/>
      <w:lvlText w:val="%1.%2.%3.%4."/>
      <w:lvlJc w:val="left"/>
      <w:pPr>
        <w:ind w:left="2127" w:hanging="720"/>
      </w:pPr>
      <w:rPr>
        <w:rFonts w:hint="default"/>
        <w:b/>
        <w:sz w:val="26"/>
      </w:rPr>
    </w:lvl>
    <w:lvl w:ilvl="4">
      <w:start w:val="1"/>
      <w:numFmt w:val="decimal"/>
      <w:isLgl/>
      <w:lvlText w:val="%1.%2.%3.%4.%5."/>
      <w:lvlJc w:val="left"/>
      <w:pPr>
        <w:ind w:left="2836" w:hanging="1080"/>
      </w:pPr>
      <w:rPr>
        <w:rFonts w:hint="default"/>
        <w:b/>
        <w:sz w:val="26"/>
      </w:rPr>
    </w:lvl>
    <w:lvl w:ilvl="5">
      <w:start w:val="1"/>
      <w:numFmt w:val="decimal"/>
      <w:isLgl/>
      <w:lvlText w:val="%1.%2.%3.%4.%5.%6."/>
      <w:lvlJc w:val="left"/>
      <w:pPr>
        <w:ind w:left="3185" w:hanging="1080"/>
      </w:pPr>
      <w:rPr>
        <w:rFonts w:hint="default"/>
        <w:b/>
        <w:sz w:val="26"/>
      </w:rPr>
    </w:lvl>
    <w:lvl w:ilvl="6">
      <w:start w:val="1"/>
      <w:numFmt w:val="decimal"/>
      <w:isLgl/>
      <w:lvlText w:val="%1.%2.%3.%4.%5.%6.%7."/>
      <w:lvlJc w:val="left"/>
      <w:pPr>
        <w:ind w:left="3534" w:hanging="1080"/>
      </w:pPr>
      <w:rPr>
        <w:rFonts w:hint="default"/>
        <w:b/>
        <w:sz w:val="26"/>
      </w:rPr>
    </w:lvl>
    <w:lvl w:ilvl="7">
      <w:start w:val="1"/>
      <w:numFmt w:val="decimal"/>
      <w:isLgl/>
      <w:lvlText w:val="%1.%2.%3.%4.%5.%6.%7.%8."/>
      <w:lvlJc w:val="left"/>
      <w:pPr>
        <w:ind w:left="4243" w:hanging="1440"/>
      </w:pPr>
      <w:rPr>
        <w:rFonts w:hint="default"/>
        <w:b/>
        <w:sz w:val="26"/>
      </w:rPr>
    </w:lvl>
    <w:lvl w:ilvl="8">
      <w:start w:val="1"/>
      <w:numFmt w:val="decimal"/>
      <w:isLgl/>
      <w:lvlText w:val="%1.%2.%3.%4.%5.%6.%7.%8.%9."/>
      <w:lvlJc w:val="left"/>
      <w:pPr>
        <w:ind w:left="4592" w:hanging="1440"/>
      </w:pPr>
      <w:rPr>
        <w:rFonts w:hint="default"/>
        <w:b/>
        <w:sz w:val="26"/>
      </w:rPr>
    </w:lvl>
  </w:abstractNum>
  <w:abstractNum w:abstractNumId="1" w15:restartNumberingAfterBreak="0">
    <w:nsid w:val="4F845216"/>
    <w:multiLevelType w:val="hybridMultilevel"/>
    <w:tmpl w:val="0F48B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92"/>
    <w:rsid w:val="00087D2F"/>
    <w:rsid w:val="000D3714"/>
    <w:rsid w:val="000F1582"/>
    <w:rsid w:val="000F6AEA"/>
    <w:rsid w:val="001135AE"/>
    <w:rsid w:val="002F4EAD"/>
    <w:rsid w:val="0038270E"/>
    <w:rsid w:val="0039495F"/>
    <w:rsid w:val="003E066E"/>
    <w:rsid w:val="0050527F"/>
    <w:rsid w:val="005274CE"/>
    <w:rsid w:val="00585B92"/>
    <w:rsid w:val="005D7864"/>
    <w:rsid w:val="00673C9D"/>
    <w:rsid w:val="00777DFF"/>
    <w:rsid w:val="0086447B"/>
    <w:rsid w:val="00872C5F"/>
    <w:rsid w:val="008F05C5"/>
    <w:rsid w:val="008F1924"/>
    <w:rsid w:val="0092264D"/>
    <w:rsid w:val="00A861B1"/>
    <w:rsid w:val="00B03489"/>
    <w:rsid w:val="00B85F49"/>
    <w:rsid w:val="00BA0D10"/>
    <w:rsid w:val="00BC03BE"/>
    <w:rsid w:val="00C17FF6"/>
    <w:rsid w:val="00C240E9"/>
    <w:rsid w:val="00C776B6"/>
    <w:rsid w:val="00CA72A8"/>
    <w:rsid w:val="00D02918"/>
    <w:rsid w:val="00DB4F26"/>
    <w:rsid w:val="00E11155"/>
    <w:rsid w:val="00E6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34F4B-338D-48EA-A7CC-066DF288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B92"/>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Заголовок первого уровня,Нумерованый список,Нумерованный спиков,List Paragraph1,_список,Мой Список,SL_Абзац списка,Bullet List,FooterText,numbered,AC List 01,List Paragraph,Абзац,Цветной список - Акцент 11"/>
    <w:basedOn w:val="a"/>
    <w:link w:val="a5"/>
    <w:uiPriority w:val="34"/>
    <w:qFormat/>
    <w:rsid w:val="00872C5F"/>
    <w:pPr>
      <w:widowControl w:val="0"/>
      <w:adjustRightInd w:val="0"/>
      <w:spacing w:after="0" w:line="360" w:lineRule="atLeast"/>
      <w:ind w:left="708"/>
      <w:jc w:val="both"/>
    </w:pPr>
    <w:rPr>
      <w:rFonts w:ascii="Times New Roman" w:eastAsia="SimSun" w:hAnsi="Times New Roman" w:cs="Times New Roman"/>
      <w:sz w:val="28"/>
      <w:szCs w:val="28"/>
      <w:lang w:val="ru-RU" w:eastAsia="ru-RU"/>
    </w:rPr>
  </w:style>
  <w:style w:type="character" w:customStyle="1" w:styleId="a5">
    <w:name w:val="Абзац списка Знак"/>
    <w:aliases w:val="Заголовок первого уровня Знак,Нумерованый список Знак,Нумерованный спиков Знак,List Paragraph1 Знак,_список Знак,Мой Список Знак,SL_Абзац списка Знак,Bullet List Знак,FooterText Знак,numbered Знак,AC List 01 Знак,List Paragraph Знак"/>
    <w:link w:val="a4"/>
    <w:uiPriority w:val="34"/>
    <w:rsid w:val="00872C5F"/>
    <w:rPr>
      <w:rFonts w:ascii="Times New Roman" w:eastAsia="SimSun" w:hAnsi="Times New Roman" w:cs="Times New Roman"/>
      <w:sz w:val="28"/>
      <w:szCs w:val="28"/>
      <w:lang w:val="ru-RU" w:eastAsia="ru-RU"/>
    </w:rPr>
  </w:style>
  <w:style w:type="paragraph" w:styleId="a6">
    <w:name w:val="Normal (Web)"/>
    <w:basedOn w:val="a"/>
    <w:uiPriority w:val="99"/>
    <w:unhideWhenUsed/>
    <w:rsid w:val="005D7864"/>
    <w:pPr>
      <w:spacing w:before="100" w:beforeAutospacing="1" w:after="100" w:afterAutospacing="1" w:line="240" w:lineRule="auto"/>
    </w:pPr>
    <w:rPr>
      <w:rFonts w:ascii="Times New Roman" w:eastAsia="SimSun" w:hAnsi="Times New Roman" w:cs="Times New Roman"/>
      <w:sz w:val="24"/>
      <w:szCs w:val="24"/>
      <w:lang w:val="ru-RU" w:eastAsia="ru-RU"/>
    </w:rPr>
  </w:style>
  <w:style w:type="character" w:customStyle="1" w:styleId="a7">
    <w:name w:val="Название Знак"/>
    <w:link w:val="a8"/>
    <w:locked/>
    <w:rsid w:val="005D7864"/>
    <w:rPr>
      <w:rFonts w:ascii="Times New Roman" w:eastAsia="SimSun" w:hAnsi="Times New Roman" w:cs="Times New Roman"/>
      <w:b/>
      <w:bCs/>
      <w:sz w:val="28"/>
      <w:szCs w:val="24"/>
      <w:lang w:val="ru-RU" w:eastAsia="ru-RU"/>
    </w:rPr>
  </w:style>
  <w:style w:type="paragraph" w:customStyle="1" w:styleId="a8">
    <w:name w:val="Название"/>
    <w:basedOn w:val="a"/>
    <w:link w:val="a7"/>
    <w:qFormat/>
    <w:rsid w:val="005D7864"/>
    <w:pPr>
      <w:spacing w:after="0" w:line="240" w:lineRule="auto"/>
      <w:jc w:val="center"/>
    </w:pPr>
    <w:rPr>
      <w:rFonts w:ascii="Times New Roman" w:eastAsia="SimSun" w:hAnsi="Times New Roman" w:cs="Times New Roman"/>
      <w:b/>
      <w:bCs/>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6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1768</Words>
  <Characters>10080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Джаксылыкова Айсулу Жуматаевна</dc:creator>
  <cp:keywords/>
  <dc:description/>
  <cp:lastModifiedBy>Нургалиева Жанар Кабдулкаримовна</cp:lastModifiedBy>
  <cp:revision>3</cp:revision>
  <dcterms:created xsi:type="dcterms:W3CDTF">2023-03-24T10:38:00Z</dcterms:created>
  <dcterms:modified xsi:type="dcterms:W3CDTF">2023-03-24T11:38:00Z</dcterms:modified>
</cp:coreProperties>
</file>