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Ind w:w="-432" w:type="dxa"/>
        <w:tblLook w:val="00A0" w:firstRow="1" w:lastRow="0" w:firstColumn="1" w:lastColumn="0" w:noHBand="0" w:noVBand="0"/>
      </w:tblPr>
      <w:tblGrid>
        <w:gridCol w:w="10050"/>
      </w:tblGrid>
      <w:tr w:rsidR="008D7220" w14:paraId="372CEE24" w14:textId="77777777" w:rsidTr="009D4680">
        <w:tc>
          <w:tcPr>
            <w:tcW w:w="10050" w:type="dxa"/>
          </w:tcPr>
          <w:p w14:paraId="13BCA6E3" w14:textId="1DE0C2DE"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w:t>
            </w:r>
            <w:r w:rsidR="00E06177">
              <w:rPr>
                <w:rFonts w:ascii="Times New Roman" w:hAnsi="Times New Roman" w:cs="Times New Roman"/>
                <w:i/>
                <w:sz w:val="20"/>
                <w:szCs w:val="20"/>
                <w:lang w:val="kk"/>
              </w:rPr>
              <w:t>5</w:t>
            </w:r>
            <w:r w:rsidRPr="00B3611A">
              <w:rPr>
                <w:rFonts w:ascii="Times New Roman" w:hAnsi="Times New Roman" w:cs="Times New Roman"/>
                <w:i/>
                <w:sz w:val="20"/>
                <w:szCs w:val="20"/>
                <w:lang w:val="kk"/>
              </w:rPr>
              <w:t xml:space="preserve">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76"/>
              <w:gridCol w:w="7748"/>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lastRenderedPageBreak/>
              <w:t>Орындаушының көлігінде орнатылатын GPS / ГЛОНАСС терминалдары Тапсырыс берушінің бірыңғай 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lastRenderedPageBreak/>
              <w:t>Талаптарды орындамағаны және/немесе тиісінше орындамағаны үшін толық жауапты болады және 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0"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8"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0"/>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004F07E9"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lastRenderedPageBreak/>
              <w:t>Мүлікке немесе қоршаған ортаға зиян немесе залал келтіру орын алған-алмағанына қарамастан, 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3D267331"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1A57F2C6"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4C985681"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77777777"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33107944"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06D97C69"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3E9B5B46"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38F3742"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211B3BC2"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584738A8"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6BD85189"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4D4144EB" w14:textId="53D890BB" w:rsidR="00732B07" w:rsidRDefault="00D817AF" w:rsidP="009D4680">
            <w:pPr>
              <w:pStyle w:val="a7"/>
              <w:jc w:val="center"/>
              <w:rPr>
                <w:rFonts w:ascii="Times New Roman" w:hAnsi="Times New Roman" w:cs="Times New Roman"/>
                <w:b/>
                <w:sz w:val="20"/>
                <w:szCs w:val="20"/>
                <w:u w:val="single"/>
                <w:lang w:val="kk"/>
              </w:rPr>
            </w:pPr>
            <w:r w:rsidRPr="008E235E">
              <w:rPr>
                <w:rFonts w:ascii="Times New Roman" w:hAnsi="Times New Roman" w:cs="Times New Roman"/>
                <w:b/>
                <w:sz w:val="20"/>
                <w:szCs w:val="20"/>
                <w:u w:val="single"/>
                <w:lang w:val="kk"/>
              </w:rPr>
              <w:t>ХАБАРЛАУ СХЕМАСЫ</w:t>
            </w:r>
          </w:p>
          <w:p w14:paraId="2FB6D98E" w14:textId="2467A08B" w:rsidR="00AE6CD7" w:rsidRDefault="00AE6CD7" w:rsidP="009D4680">
            <w:pPr>
              <w:pStyle w:val="a7"/>
              <w:jc w:val="center"/>
              <w:rPr>
                <w:rFonts w:ascii="Times New Roman" w:hAnsi="Times New Roman" w:cs="Times New Roman"/>
                <w:b/>
                <w:sz w:val="20"/>
                <w:szCs w:val="20"/>
                <w:u w:val="single"/>
              </w:rPr>
            </w:pPr>
            <w:r>
              <w:rPr>
                <w:noProof/>
              </w:rPr>
              <w:drawing>
                <wp:anchor distT="0" distB="0" distL="114300" distR="114300" simplePos="0" relativeHeight="251658240" behindDoc="0" locked="0" layoutInCell="1" allowOverlap="1" wp14:anchorId="6876A5E2" wp14:editId="5D442DF6">
                  <wp:simplePos x="0" y="0"/>
                  <wp:positionH relativeFrom="column">
                    <wp:posOffset>566166</wp:posOffset>
                  </wp:positionH>
                  <wp:positionV relativeFrom="paragraph">
                    <wp:posOffset>97054</wp:posOffset>
                  </wp:positionV>
                  <wp:extent cx="5010785" cy="31730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785" cy="317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9FA4D" w14:textId="4D764AF2" w:rsidR="00AE6CD7" w:rsidRDefault="00AE6CD7" w:rsidP="009D4680">
            <w:pPr>
              <w:pStyle w:val="a7"/>
              <w:jc w:val="center"/>
              <w:rPr>
                <w:rFonts w:ascii="Times New Roman" w:hAnsi="Times New Roman" w:cs="Times New Roman"/>
                <w:b/>
                <w:sz w:val="20"/>
                <w:szCs w:val="20"/>
                <w:u w:val="single"/>
              </w:rPr>
            </w:pPr>
          </w:p>
          <w:p w14:paraId="01198B3B" w14:textId="083DBFF9" w:rsidR="00AE6CD7" w:rsidRDefault="00AE6CD7" w:rsidP="009D4680">
            <w:pPr>
              <w:pStyle w:val="a7"/>
              <w:jc w:val="center"/>
              <w:rPr>
                <w:rFonts w:ascii="Times New Roman" w:hAnsi="Times New Roman" w:cs="Times New Roman"/>
                <w:b/>
                <w:sz w:val="20"/>
                <w:szCs w:val="20"/>
                <w:u w:val="single"/>
              </w:rPr>
            </w:pPr>
          </w:p>
          <w:p w14:paraId="6867FBCC" w14:textId="77777777" w:rsidR="00AE6CD7" w:rsidRDefault="00AE6CD7" w:rsidP="009D4680">
            <w:pPr>
              <w:pStyle w:val="a7"/>
              <w:jc w:val="center"/>
              <w:rPr>
                <w:rFonts w:ascii="Times New Roman" w:hAnsi="Times New Roman" w:cs="Times New Roman"/>
                <w:b/>
                <w:sz w:val="20"/>
                <w:szCs w:val="20"/>
                <w:u w:val="single"/>
              </w:rPr>
            </w:pPr>
          </w:p>
          <w:p w14:paraId="723606A2" w14:textId="77777777" w:rsidR="00AE6CD7" w:rsidRDefault="00AE6CD7" w:rsidP="009D4680">
            <w:pPr>
              <w:pStyle w:val="a7"/>
              <w:jc w:val="center"/>
              <w:rPr>
                <w:rFonts w:ascii="Times New Roman" w:hAnsi="Times New Roman" w:cs="Times New Roman"/>
                <w:b/>
                <w:sz w:val="20"/>
                <w:szCs w:val="20"/>
                <w:u w:val="single"/>
              </w:rPr>
            </w:pPr>
          </w:p>
          <w:p w14:paraId="052B17CF" w14:textId="77777777" w:rsidR="00AE6CD7" w:rsidRDefault="00AE6CD7" w:rsidP="009D4680">
            <w:pPr>
              <w:pStyle w:val="a7"/>
              <w:jc w:val="center"/>
              <w:rPr>
                <w:rFonts w:ascii="Times New Roman" w:hAnsi="Times New Roman" w:cs="Times New Roman"/>
                <w:b/>
                <w:sz w:val="20"/>
                <w:szCs w:val="20"/>
                <w:u w:val="single"/>
              </w:rPr>
            </w:pPr>
          </w:p>
          <w:p w14:paraId="7D6559D2" w14:textId="77777777" w:rsidR="00AE6CD7" w:rsidRDefault="00AE6CD7" w:rsidP="009D4680">
            <w:pPr>
              <w:pStyle w:val="a7"/>
              <w:jc w:val="center"/>
              <w:rPr>
                <w:rFonts w:ascii="Times New Roman" w:hAnsi="Times New Roman" w:cs="Times New Roman"/>
                <w:b/>
                <w:sz w:val="20"/>
                <w:szCs w:val="20"/>
                <w:u w:val="single"/>
              </w:rPr>
            </w:pPr>
          </w:p>
          <w:p w14:paraId="41879625" w14:textId="77777777" w:rsidR="00AE6CD7" w:rsidRDefault="00AE6CD7" w:rsidP="009D4680">
            <w:pPr>
              <w:pStyle w:val="a7"/>
              <w:jc w:val="center"/>
              <w:rPr>
                <w:rFonts w:ascii="Times New Roman" w:hAnsi="Times New Roman" w:cs="Times New Roman"/>
                <w:b/>
                <w:sz w:val="20"/>
                <w:szCs w:val="20"/>
                <w:u w:val="single"/>
              </w:rPr>
            </w:pPr>
          </w:p>
          <w:p w14:paraId="23392FDB" w14:textId="77777777" w:rsidR="00AE6CD7" w:rsidRDefault="00AE6CD7" w:rsidP="009D4680">
            <w:pPr>
              <w:pStyle w:val="a7"/>
              <w:jc w:val="center"/>
              <w:rPr>
                <w:rFonts w:ascii="Times New Roman" w:hAnsi="Times New Roman" w:cs="Times New Roman"/>
                <w:b/>
                <w:sz w:val="20"/>
                <w:szCs w:val="20"/>
                <w:u w:val="single"/>
              </w:rPr>
            </w:pPr>
          </w:p>
          <w:p w14:paraId="2FE820AC" w14:textId="77777777" w:rsidR="00AE6CD7" w:rsidRDefault="00AE6CD7" w:rsidP="009D4680">
            <w:pPr>
              <w:pStyle w:val="a7"/>
              <w:jc w:val="center"/>
              <w:rPr>
                <w:rFonts w:ascii="Times New Roman" w:hAnsi="Times New Roman" w:cs="Times New Roman"/>
                <w:b/>
                <w:sz w:val="20"/>
                <w:szCs w:val="20"/>
                <w:u w:val="single"/>
              </w:rPr>
            </w:pPr>
          </w:p>
          <w:p w14:paraId="0E024183" w14:textId="77777777" w:rsidR="00AE6CD7" w:rsidRDefault="00AE6CD7" w:rsidP="009D4680">
            <w:pPr>
              <w:pStyle w:val="a7"/>
              <w:jc w:val="center"/>
              <w:rPr>
                <w:rFonts w:ascii="Times New Roman" w:hAnsi="Times New Roman" w:cs="Times New Roman"/>
                <w:b/>
                <w:sz w:val="20"/>
                <w:szCs w:val="20"/>
                <w:u w:val="single"/>
              </w:rPr>
            </w:pPr>
          </w:p>
          <w:p w14:paraId="6CF47369" w14:textId="77777777" w:rsidR="00AE6CD7" w:rsidRDefault="00AE6CD7" w:rsidP="009D4680">
            <w:pPr>
              <w:pStyle w:val="a7"/>
              <w:jc w:val="center"/>
              <w:rPr>
                <w:rFonts w:ascii="Times New Roman" w:hAnsi="Times New Roman" w:cs="Times New Roman"/>
                <w:b/>
                <w:sz w:val="20"/>
                <w:szCs w:val="20"/>
                <w:u w:val="single"/>
              </w:rPr>
            </w:pPr>
          </w:p>
          <w:p w14:paraId="0A5EBE0C" w14:textId="77777777" w:rsidR="00AE6CD7" w:rsidRDefault="00AE6CD7" w:rsidP="009D4680">
            <w:pPr>
              <w:pStyle w:val="a7"/>
              <w:jc w:val="center"/>
              <w:rPr>
                <w:rFonts w:ascii="Times New Roman" w:hAnsi="Times New Roman" w:cs="Times New Roman"/>
                <w:b/>
                <w:sz w:val="20"/>
                <w:szCs w:val="20"/>
                <w:u w:val="single"/>
              </w:rPr>
            </w:pPr>
          </w:p>
          <w:p w14:paraId="70C01FB8" w14:textId="77777777" w:rsidR="00AE6CD7" w:rsidRDefault="00AE6CD7" w:rsidP="009D4680">
            <w:pPr>
              <w:pStyle w:val="a7"/>
              <w:jc w:val="center"/>
              <w:rPr>
                <w:rFonts w:ascii="Times New Roman" w:hAnsi="Times New Roman" w:cs="Times New Roman"/>
                <w:b/>
                <w:sz w:val="20"/>
                <w:szCs w:val="20"/>
                <w:u w:val="single"/>
              </w:rPr>
            </w:pPr>
          </w:p>
          <w:p w14:paraId="7C39E909" w14:textId="77777777" w:rsidR="00AE6CD7" w:rsidRDefault="00AE6CD7" w:rsidP="009D4680">
            <w:pPr>
              <w:pStyle w:val="a7"/>
              <w:jc w:val="center"/>
              <w:rPr>
                <w:rFonts w:ascii="Times New Roman" w:hAnsi="Times New Roman" w:cs="Times New Roman"/>
                <w:b/>
                <w:sz w:val="20"/>
                <w:szCs w:val="20"/>
                <w:u w:val="single"/>
              </w:rPr>
            </w:pPr>
          </w:p>
          <w:p w14:paraId="3186DF99" w14:textId="77777777" w:rsidR="00AE6CD7" w:rsidRDefault="00AE6CD7" w:rsidP="009D4680">
            <w:pPr>
              <w:pStyle w:val="a7"/>
              <w:jc w:val="center"/>
              <w:rPr>
                <w:rFonts w:ascii="Times New Roman" w:hAnsi="Times New Roman" w:cs="Times New Roman"/>
                <w:b/>
                <w:sz w:val="20"/>
                <w:szCs w:val="20"/>
                <w:u w:val="single"/>
              </w:rPr>
            </w:pPr>
          </w:p>
          <w:p w14:paraId="1E3F769F" w14:textId="77777777" w:rsidR="00AE6CD7" w:rsidRDefault="00AE6CD7" w:rsidP="009D4680">
            <w:pPr>
              <w:pStyle w:val="a7"/>
              <w:jc w:val="center"/>
              <w:rPr>
                <w:rFonts w:ascii="Times New Roman" w:hAnsi="Times New Roman" w:cs="Times New Roman"/>
                <w:b/>
                <w:sz w:val="20"/>
                <w:szCs w:val="20"/>
                <w:u w:val="single"/>
              </w:rPr>
            </w:pPr>
          </w:p>
          <w:p w14:paraId="0BD752FA" w14:textId="77777777" w:rsidR="00AE6CD7" w:rsidRDefault="00AE6CD7" w:rsidP="009D4680">
            <w:pPr>
              <w:pStyle w:val="a7"/>
              <w:jc w:val="center"/>
              <w:rPr>
                <w:rFonts w:ascii="Times New Roman" w:hAnsi="Times New Roman" w:cs="Times New Roman"/>
                <w:b/>
                <w:sz w:val="20"/>
                <w:szCs w:val="20"/>
                <w:u w:val="single"/>
              </w:rPr>
            </w:pPr>
          </w:p>
          <w:p w14:paraId="5FA57F19" w14:textId="77777777" w:rsidR="00AE6CD7" w:rsidRDefault="00AE6CD7" w:rsidP="009D4680">
            <w:pPr>
              <w:pStyle w:val="a7"/>
              <w:jc w:val="center"/>
              <w:rPr>
                <w:rFonts w:ascii="Times New Roman" w:hAnsi="Times New Roman" w:cs="Times New Roman"/>
                <w:b/>
                <w:sz w:val="20"/>
                <w:szCs w:val="20"/>
                <w:u w:val="single"/>
              </w:rPr>
            </w:pPr>
          </w:p>
          <w:p w14:paraId="743547F5" w14:textId="77777777" w:rsidR="00AE6CD7" w:rsidRDefault="00AE6CD7" w:rsidP="009D4680">
            <w:pPr>
              <w:pStyle w:val="a7"/>
              <w:jc w:val="center"/>
              <w:rPr>
                <w:rFonts w:ascii="Times New Roman" w:hAnsi="Times New Roman" w:cs="Times New Roman"/>
                <w:b/>
                <w:sz w:val="20"/>
                <w:szCs w:val="20"/>
                <w:u w:val="single"/>
              </w:rPr>
            </w:pPr>
          </w:p>
          <w:p w14:paraId="42224139" w14:textId="6B09DB77" w:rsidR="00AE6CD7" w:rsidRPr="009D4680" w:rsidRDefault="00AE6CD7" w:rsidP="009D4680">
            <w:pPr>
              <w:pStyle w:val="a7"/>
              <w:jc w:val="center"/>
              <w:rPr>
                <w:rFonts w:ascii="Times New Roman" w:hAnsi="Times New Roman" w:cs="Times New Roman"/>
                <w:b/>
                <w:sz w:val="20"/>
                <w:szCs w:val="20"/>
                <w:u w:val="single"/>
              </w:rPr>
            </w:pPr>
            <w:bookmarkStart w:id="1" w:name="_GoBack"/>
            <w:bookmarkEnd w:id="1"/>
          </w:p>
        </w:tc>
      </w:tr>
    </w:tbl>
    <w:p w14:paraId="58DB82D8" w14:textId="4167DEFE"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lastRenderedPageBreak/>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lastRenderedPageBreak/>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lastRenderedPageBreak/>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0"/>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139"/>
        <w:gridCol w:w="1276"/>
        <w:gridCol w:w="1417"/>
        <w:gridCol w:w="1418"/>
        <w:gridCol w:w="1690"/>
        <w:gridCol w:w="1985"/>
        <w:gridCol w:w="1995"/>
        <w:gridCol w:w="1701"/>
      </w:tblGrid>
      <w:tr w:rsidR="006E1EDD" w:rsidRPr="00956E80" w14:paraId="46E5F0A3" w14:textId="6FDB8886" w:rsidTr="006E1EDD">
        <w:tc>
          <w:tcPr>
            <w:tcW w:w="503" w:type="dxa"/>
            <w:vMerge w:val="restart"/>
            <w:shd w:val="clear" w:color="auto" w:fill="auto"/>
            <w:vAlign w:val="center"/>
          </w:tcPr>
          <w:p w14:paraId="564B0DBC"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р/н</w:t>
            </w:r>
          </w:p>
        </w:tc>
        <w:tc>
          <w:tcPr>
            <w:tcW w:w="2753" w:type="dxa"/>
            <w:vMerge w:val="restart"/>
            <w:shd w:val="clear" w:color="auto" w:fill="D9D9D9"/>
            <w:vAlign w:val="center"/>
          </w:tcPr>
          <w:p w14:paraId="185AC2F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Шарттың жалпы құны </w:t>
            </w:r>
          </w:p>
          <w:p w14:paraId="6CF60CCA"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(Шарт бойынша ТЖҚ жалпы құны), теңгемен</w:t>
            </w:r>
          </w:p>
          <w:p w14:paraId="36558EC7"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i/>
                <w:color w:val="000000"/>
                <w:sz w:val="17"/>
                <w:szCs w:val="17"/>
                <w:lang w:val="kk"/>
              </w:rPr>
              <w:t>(егер Шарттың жалпы құны өзге валютамен көрсетілген жағдайда, бұзушылық күніне ҚР Ұлттық Банкінің бағамы қолданылады)</w:t>
            </w:r>
          </w:p>
        </w:tc>
        <w:tc>
          <w:tcPr>
            <w:tcW w:w="12621" w:type="dxa"/>
            <w:gridSpan w:val="8"/>
            <w:shd w:val="clear" w:color="auto" w:fill="D9D9D9"/>
            <w:vAlign w:val="center"/>
          </w:tcPr>
          <w:p w14:paraId="341C5118"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Бұзушылық түрлерінің санаттары бойынша әрбір бұзушылық жағдайы үшін айыппұл сомасы, АЕК-пен </w:t>
            </w:r>
          </w:p>
          <w:p w14:paraId="54116547" w14:textId="3D5FE21B" w:rsidR="006E1EDD" w:rsidRPr="006E1EDD"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 күніне "Республикалық бюджет туралы" ҚР Заңымен белгіленген айлық есептік көрсеткіштер) </w:t>
            </w:r>
          </w:p>
        </w:tc>
      </w:tr>
      <w:tr w:rsidR="006E1EDD" w:rsidRPr="00956E80" w14:paraId="46757216" w14:textId="1B038922" w:rsidTr="006E1EDD">
        <w:tc>
          <w:tcPr>
            <w:tcW w:w="503" w:type="dxa"/>
            <w:vMerge/>
            <w:shd w:val="clear" w:color="auto" w:fill="auto"/>
            <w:vAlign w:val="center"/>
          </w:tcPr>
          <w:p w14:paraId="7E4D6A8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2753" w:type="dxa"/>
            <w:vMerge/>
            <w:shd w:val="clear" w:color="auto" w:fill="D9D9D9"/>
            <w:vAlign w:val="center"/>
          </w:tcPr>
          <w:p w14:paraId="7AFD1B5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139" w:type="dxa"/>
            <w:shd w:val="clear" w:color="auto" w:fill="auto"/>
            <w:vAlign w:val="center"/>
          </w:tcPr>
          <w:p w14:paraId="5B0F4933"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Алкоголь-Есірткі</w:t>
            </w:r>
          </w:p>
        </w:tc>
        <w:tc>
          <w:tcPr>
            <w:tcW w:w="1276" w:type="dxa"/>
            <w:shd w:val="clear" w:color="auto" w:fill="auto"/>
            <w:vAlign w:val="center"/>
          </w:tcPr>
          <w:p w14:paraId="74780CF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Қару, жарылғыш заттар және жарылғыш құрылғылар</w:t>
            </w:r>
          </w:p>
        </w:tc>
        <w:tc>
          <w:tcPr>
            <w:tcW w:w="1417" w:type="dxa"/>
            <w:shd w:val="clear" w:color="auto" w:fill="auto"/>
            <w:vAlign w:val="center"/>
          </w:tcPr>
          <w:p w14:paraId="3C95EE4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Жол жүрісі қауіпсіздігі қағидаларын бұзу</w:t>
            </w:r>
          </w:p>
        </w:tc>
        <w:tc>
          <w:tcPr>
            <w:tcW w:w="1418" w:type="dxa"/>
            <w:shd w:val="clear" w:color="auto" w:fill="auto"/>
            <w:vAlign w:val="center"/>
          </w:tcPr>
          <w:p w14:paraId="5EE289D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"Тапсырыс беруші белгілеген тұру/ сол жерде болу тәртібін бұзу"</w:t>
            </w:r>
          </w:p>
        </w:tc>
        <w:tc>
          <w:tcPr>
            <w:tcW w:w="1690" w:type="dxa"/>
            <w:shd w:val="clear" w:color="auto" w:fill="auto"/>
            <w:vAlign w:val="center"/>
          </w:tcPr>
          <w:p w14:paraId="33CE9622"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Экологиялық заңнаманы бұзу</w:t>
            </w:r>
          </w:p>
        </w:tc>
        <w:tc>
          <w:tcPr>
            <w:tcW w:w="1985" w:type="dxa"/>
            <w:shd w:val="clear" w:color="auto" w:fill="auto"/>
            <w:vAlign w:val="center"/>
          </w:tcPr>
          <w:p w14:paraId="1762637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995" w:type="dxa"/>
            <w:vAlign w:val="center"/>
          </w:tcPr>
          <w:p w14:paraId="348E2F7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Жиналыстар өткізу қағидаларын бұзу*</w:t>
            </w:r>
          </w:p>
          <w:p w14:paraId="4DBF7EEF"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p>
        </w:tc>
        <w:tc>
          <w:tcPr>
            <w:tcW w:w="1701" w:type="dxa"/>
            <w:vAlign w:val="center"/>
          </w:tcPr>
          <w:p w14:paraId="71B09AB7" w14:textId="7DF9240E" w:rsidR="006E1EDD" w:rsidRPr="006E1EDD" w:rsidRDefault="00D95E16" w:rsidP="006E1EDD">
            <w:pPr>
              <w:spacing w:after="0" w:line="240" w:lineRule="auto"/>
              <w:jc w:val="center"/>
              <w:rPr>
                <w:rFonts w:ascii="Times New Roman" w:eastAsia="Calibri" w:hAnsi="Times New Roman" w:cs="Times New Roman"/>
                <w:b/>
                <w:color w:val="000000"/>
                <w:sz w:val="17"/>
                <w:szCs w:val="17"/>
              </w:rPr>
            </w:pPr>
            <w:r w:rsidRPr="006E1EDD">
              <w:rPr>
                <w:rFonts w:ascii="Times New Roman" w:eastAsia="Calibri" w:hAnsi="Times New Roman" w:cs="Times New Roman"/>
                <w:b/>
                <w:color w:val="000000"/>
                <w:sz w:val="17"/>
                <w:szCs w:val="17"/>
                <w:lang w:val="kk"/>
              </w:rPr>
              <w:t>Көлік</w:t>
            </w:r>
            <w:r>
              <w:rPr>
                <w:rFonts w:ascii="Times New Roman" w:eastAsia="Calibri" w:hAnsi="Times New Roman" w:cs="Times New Roman"/>
                <w:b/>
                <w:color w:val="000000"/>
                <w:sz w:val="17"/>
                <w:szCs w:val="17"/>
                <w:lang w:val="kk-KZ"/>
              </w:rPr>
              <w:t>ке</w:t>
            </w:r>
            <w:r w:rsidRPr="006E1EDD">
              <w:rPr>
                <w:rFonts w:ascii="Times New Roman" w:eastAsia="Calibri" w:hAnsi="Times New Roman" w:cs="Times New Roman"/>
                <w:b/>
                <w:color w:val="000000"/>
                <w:sz w:val="17"/>
                <w:szCs w:val="17"/>
                <w:lang w:val="kk"/>
              </w:rPr>
              <w:t>, жабдықтар мен құралдарға қойылатын талаптарды бұзу</w:t>
            </w:r>
          </w:p>
        </w:tc>
      </w:tr>
      <w:tr w:rsidR="006E1EDD" w:rsidRPr="00956E80" w14:paraId="1DD531CB" w14:textId="568FE546" w:rsidTr="006E1EDD">
        <w:trPr>
          <w:trHeight w:val="2006"/>
        </w:trPr>
        <w:tc>
          <w:tcPr>
            <w:tcW w:w="503" w:type="dxa"/>
            <w:shd w:val="clear" w:color="auto" w:fill="auto"/>
            <w:vAlign w:val="center"/>
          </w:tcPr>
          <w:p w14:paraId="22A698F9"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1</w:t>
            </w:r>
          </w:p>
        </w:tc>
        <w:tc>
          <w:tcPr>
            <w:tcW w:w="2753" w:type="dxa"/>
            <w:shd w:val="clear" w:color="auto" w:fill="D9D9D9"/>
            <w:vAlign w:val="center"/>
          </w:tcPr>
          <w:p w14:paraId="6C476045"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1.1. Өтеусіз мәмілелер</w:t>
            </w:r>
            <w:r w:rsidRPr="00956E80">
              <w:rPr>
                <w:rFonts w:ascii="Times New Roman" w:eastAsia="Calibri" w:hAnsi="Times New Roman" w:cs="Times New Roman"/>
                <w:i/>
                <w:color w:val="000000"/>
                <w:sz w:val="17"/>
                <w:szCs w:val="17"/>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6E1EDD" w:rsidRPr="00956E80" w:rsidRDefault="006E1EDD" w:rsidP="006E1EDD">
            <w:pPr>
              <w:spacing w:after="0" w:line="240" w:lineRule="auto"/>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1.2. Кіріс мәмілелері</w:t>
            </w:r>
            <w:r w:rsidRPr="00956E80">
              <w:rPr>
                <w:rFonts w:ascii="Times New Roman" w:eastAsia="Calibri" w:hAnsi="Times New Roman" w:cs="Times New Roman"/>
                <w:i/>
                <w:color w:val="000000"/>
                <w:sz w:val="17"/>
                <w:szCs w:val="17"/>
                <w:lang w:val="kk"/>
              </w:rPr>
              <w:t xml:space="preserve"> (жасалуы қоғамға пайда әкелетін шарттар мен келісімдер),</w:t>
            </w:r>
          </w:p>
          <w:p w14:paraId="3EB9AB93"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1.3. 5 млн. теңгеге дейінгі сомаға мәмілелер</w:t>
            </w:r>
          </w:p>
        </w:tc>
        <w:tc>
          <w:tcPr>
            <w:tcW w:w="1139" w:type="dxa"/>
            <w:shd w:val="clear" w:color="auto" w:fill="auto"/>
            <w:vAlign w:val="center"/>
          </w:tcPr>
          <w:p w14:paraId="73F7F17A"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09F7D5AD"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3CD072C"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6B98D4BC"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6126218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0EE08A1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40 АЕК  </w:t>
            </w:r>
          </w:p>
          <w:p w14:paraId="571F471C"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Басқа бұзушылықтар -</w:t>
            </w:r>
          </w:p>
          <w:p w14:paraId="65F7EF6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 10 АЕК  </w:t>
            </w:r>
          </w:p>
        </w:tc>
        <w:tc>
          <w:tcPr>
            <w:tcW w:w="1418" w:type="dxa"/>
            <w:shd w:val="clear" w:color="auto" w:fill="auto"/>
            <w:vAlign w:val="center"/>
          </w:tcPr>
          <w:p w14:paraId="73A9759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 АЕК</w:t>
            </w:r>
          </w:p>
        </w:tc>
        <w:tc>
          <w:tcPr>
            <w:tcW w:w="1690" w:type="dxa"/>
            <w:shd w:val="clear" w:color="auto" w:fill="auto"/>
            <w:vAlign w:val="center"/>
          </w:tcPr>
          <w:p w14:paraId="47116D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02A5E8D7"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31E22F5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4D3DD4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 25 АЕК</w:t>
            </w:r>
          </w:p>
          <w:p w14:paraId="5801911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shd w:val="clear" w:color="auto" w:fill="auto"/>
            <w:vAlign w:val="center"/>
          </w:tcPr>
          <w:p w14:paraId="15B6CB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5C251581"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4F284240" w14:textId="2910A9AE"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63AC6A87" w14:textId="6310AB65"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995" w:type="dxa"/>
            <w:vMerge w:val="restart"/>
            <w:vAlign w:val="center"/>
          </w:tcPr>
          <w:p w14:paraId="687F9F46" w14:textId="77777777" w:rsidR="006E1EDD" w:rsidRPr="00956E80" w:rsidRDefault="006E1EDD" w:rsidP="006E1EDD">
            <w:pPr>
              <w:spacing w:after="0" w:line="240" w:lineRule="auto"/>
              <w:jc w:val="center"/>
              <w:rPr>
                <w:rFonts w:ascii="Times New Roman" w:eastAsia="Calibri" w:hAnsi="Times New Roman" w:cs="Times New Roman"/>
                <w:b/>
                <w:sz w:val="17"/>
                <w:szCs w:val="17"/>
              </w:rPr>
            </w:pPr>
            <w:r w:rsidRPr="00956E80">
              <w:rPr>
                <w:rFonts w:ascii="Times New Roman" w:eastAsia="Calibri" w:hAnsi="Times New Roman" w:cs="Times New Roman"/>
                <w:b/>
                <w:sz w:val="17"/>
                <w:szCs w:val="17"/>
                <w:lang w:val="kk"/>
              </w:rPr>
              <w:t>Тапсырыс берушінің қалауы бойынша контрагентке мыналар қолданылуы мүмкін:</w:t>
            </w:r>
          </w:p>
          <w:p w14:paraId="030E1F4B" w14:textId="77777777" w:rsidR="006E1EDD" w:rsidRPr="00956E80" w:rsidRDefault="006E1EDD" w:rsidP="006E1EDD">
            <w:pPr>
              <w:spacing w:after="0" w:line="240" w:lineRule="auto"/>
              <w:jc w:val="center"/>
              <w:rPr>
                <w:rFonts w:ascii="Times New Roman" w:eastAsia="Calibri" w:hAnsi="Times New Roman" w:cs="Times New Roman"/>
                <w:b/>
                <w:sz w:val="17"/>
                <w:szCs w:val="17"/>
              </w:rPr>
            </w:pPr>
          </w:p>
          <w:p w14:paraId="4FD33213"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 xml:space="preserve">1. Айыппұл мөлшері: </w:t>
            </w:r>
          </w:p>
          <w:p w14:paraId="7434D4B9"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1.1. 100 АЕК - өтеусіз мәмілелер және 5 млн. теңгеге дейінгі сомаға мәмілелер бойынша;</w:t>
            </w:r>
          </w:p>
          <w:p w14:paraId="29D1BB8A"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1.2. Барлық өзге мәмілелер бойынша шарттың жалпы құнының 10% ;</w:t>
            </w:r>
          </w:p>
          <w:p w14:paraId="6E145A32" w14:textId="77777777" w:rsidR="006E1EDD" w:rsidRPr="009D46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sz w:val="17"/>
                <w:szCs w:val="17"/>
                <w:lang w:val="kk"/>
              </w:rPr>
              <w:t>2. Шартты бұзу (шартты орындаудан біржақты бас тарту)</w:t>
            </w:r>
          </w:p>
        </w:tc>
        <w:tc>
          <w:tcPr>
            <w:tcW w:w="1701" w:type="dxa"/>
            <w:vMerge w:val="restart"/>
            <w:vAlign w:val="center"/>
          </w:tcPr>
          <w:p w14:paraId="5933AA01" w14:textId="6003415F"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Pr>
                <w:rFonts w:ascii="Times New Roman" w:eastAsia="Calibri" w:hAnsi="Times New Roman" w:cs="Times New Roman"/>
                <w:color w:val="000000"/>
                <w:sz w:val="17"/>
                <w:szCs w:val="17"/>
              </w:rPr>
              <w:t>Ж</w:t>
            </w:r>
            <w:r w:rsidRPr="006E1EDD">
              <w:rPr>
                <w:rFonts w:ascii="Times New Roman" w:eastAsia="Calibri" w:hAnsi="Times New Roman" w:cs="Times New Roman"/>
                <w:color w:val="000000"/>
                <w:sz w:val="17"/>
                <w:szCs w:val="17"/>
                <w:lang w:val="kk"/>
              </w:rPr>
              <w:t>ұмыстарды орындау</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 xml:space="preserve">қызметтер көрсету басталғанға дейін </w:t>
            </w:r>
            <w:r>
              <w:rPr>
                <w:rFonts w:ascii="Times New Roman" w:eastAsia="Calibri" w:hAnsi="Times New Roman" w:cs="Times New Roman"/>
                <w:color w:val="000000"/>
                <w:sz w:val="17"/>
                <w:szCs w:val="17"/>
                <w:lang w:val="kk"/>
              </w:rPr>
              <w:t xml:space="preserve">көлікте </w:t>
            </w:r>
            <w:r w:rsidRPr="006E1EDD">
              <w:rPr>
                <w:rFonts w:ascii="Times New Roman" w:eastAsia="Calibri" w:hAnsi="Times New Roman" w:cs="Times New Roman"/>
                <w:color w:val="000000"/>
                <w:sz w:val="17"/>
                <w:szCs w:val="17"/>
                <w:lang w:val="kk"/>
              </w:rPr>
              <w:t>GPS/ГЛОНАСС терминалы болма</w:t>
            </w:r>
            <w:r>
              <w:rPr>
                <w:rFonts w:ascii="Times New Roman" w:eastAsia="Calibri" w:hAnsi="Times New Roman" w:cs="Times New Roman"/>
                <w:color w:val="000000"/>
                <w:sz w:val="17"/>
                <w:szCs w:val="17"/>
                <w:lang w:val="kk"/>
              </w:rPr>
              <w:t>са</w:t>
            </w:r>
            <w:r w:rsidRPr="006E1EDD">
              <w:rPr>
                <w:rFonts w:ascii="Times New Roman" w:eastAsia="Calibri" w:hAnsi="Times New Roman" w:cs="Times New Roman"/>
                <w:color w:val="000000"/>
                <w:sz w:val="17"/>
                <w:szCs w:val="17"/>
                <w:lang w:val="kk"/>
              </w:rPr>
              <w:t xml:space="preserve"> және/немесе жұмыс істемейтін GPS/ГЛОНАСС жүйесі анықта</w:t>
            </w:r>
            <w:r>
              <w:rPr>
                <w:rFonts w:ascii="Times New Roman" w:eastAsia="Calibri" w:hAnsi="Times New Roman" w:cs="Times New Roman"/>
                <w:color w:val="000000"/>
                <w:sz w:val="17"/>
                <w:szCs w:val="17"/>
                <w:lang w:val="kk"/>
              </w:rPr>
              <w:t>лса</w:t>
            </w:r>
            <w:r w:rsidRPr="006E1EDD">
              <w:rPr>
                <w:rFonts w:ascii="Times New Roman" w:eastAsia="Calibri" w:hAnsi="Times New Roman" w:cs="Times New Roman"/>
                <w:color w:val="000000"/>
                <w:sz w:val="17"/>
                <w:szCs w:val="17"/>
                <w:lang w:val="kk"/>
              </w:rPr>
              <w:t xml:space="preserve"> (жұмыстарды орындауға</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қызметтер көрсетуге және тауарларды жеткізуге тұрақты тартылмаған көлік</w:t>
            </w:r>
            <w:r>
              <w:rPr>
                <w:rFonts w:ascii="Times New Roman" w:eastAsia="Calibri" w:hAnsi="Times New Roman" w:cs="Times New Roman"/>
                <w:color w:val="000000"/>
                <w:sz w:val="17"/>
                <w:szCs w:val="17"/>
                <w:lang w:val="kk"/>
              </w:rPr>
              <w:t>терден басқа</w:t>
            </w:r>
            <w:r w:rsidRPr="006E1EDD">
              <w:rPr>
                <w:rFonts w:ascii="Times New Roman" w:eastAsia="Calibri" w:hAnsi="Times New Roman" w:cs="Times New Roman"/>
                <w:color w:val="000000"/>
                <w:sz w:val="17"/>
                <w:szCs w:val="17"/>
                <w:lang w:val="kk"/>
              </w:rPr>
              <w:t>) -</w:t>
            </w:r>
          </w:p>
          <w:p w14:paraId="2E0DCD98" w14:textId="77777777" w:rsidR="00D95E16" w:rsidRPr="006E1EDD" w:rsidRDefault="00D95E16" w:rsidP="00D95E16">
            <w:pPr>
              <w:spacing w:after="0" w:line="240" w:lineRule="auto"/>
              <w:jc w:val="center"/>
              <w:rPr>
                <w:rFonts w:ascii="Times New Roman" w:eastAsia="Calibri" w:hAnsi="Times New Roman" w:cs="Times New Roman"/>
                <w:b/>
                <w:color w:val="C00000"/>
                <w:sz w:val="17"/>
                <w:szCs w:val="17"/>
                <w:lang w:val="kk"/>
              </w:rPr>
            </w:pPr>
            <w:r w:rsidRPr="006E1EDD">
              <w:rPr>
                <w:rFonts w:ascii="Times New Roman" w:eastAsia="Calibri" w:hAnsi="Times New Roman" w:cs="Times New Roman"/>
                <w:b/>
                <w:color w:val="C00000"/>
                <w:sz w:val="17"/>
                <w:szCs w:val="17"/>
                <w:lang w:val="kk"/>
              </w:rPr>
              <w:t>50 АЕК</w:t>
            </w:r>
          </w:p>
          <w:p w14:paraId="629502E7" w14:textId="77777777"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p>
          <w:p w14:paraId="099D4B16" w14:textId="395CF27E"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sidRPr="006E1EDD">
              <w:rPr>
                <w:rFonts w:ascii="Times New Roman" w:eastAsia="Calibri" w:hAnsi="Times New Roman" w:cs="Times New Roman"/>
                <w:color w:val="000000"/>
                <w:sz w:val="17"/>
                <w:szCs w:val="17"/>
                <w:lang w:val="kk"/>
              </w:rPr>
              <w:t>Сол көлік</w:t>
            </w:r>
            <w:r>
              <w:rPr>
                <w:rFonts w:ascii="Times New Roman" w:eastAsia="Calibri" w:hAnsi="Times New Roman" w:cs="Times New Roman"/>
                <w:color w:val="000000"/>
                <w:sz w:val="17"/>
                <w:szCs w:val="17"/>
                <w:lang w:val="kk"/>
              </w:rPr>
              <w:t xml:space="preserve">те </w:t>
            </w:r>
            <w:r w:rsidRPr="006E1EDD">
              <w:rPr>
                <w:rFonts w:ascii="Times New Roman" w:eastAsia="Calibri" w:hAnsi="Times New Roman" w:cs="Times New Roman"/>
                <w:color w:val="000000"/>
                <w:sz w:val="17"/>
                <w:szCs w:val="17"/>
                <w:lang w:val="kk"/>
              </w:rPr>
              <w:t>бұзушылық қайта анықталған жағдайда –</w:t>
            </w:r>
          </w:p>
          <w:p w14:paraId="695B8498" w14:textId="7256456F" w:rsidR="006E1EDD" w:rsidRPr="006E1EDD" w:rsidRDefault="00D95E16" w:rsidP="00D95E16">
            <w:pPr>
              <w:jc w:val="center"/>
              <w:rPr>
                <w:b/>
              </w:rPr>
            </w:pPr>
            <w:r w:rsidRPr="006E1EDD">
              <w:rPr>
                <w:rFonts w:ascii="Times New Roman" w:eastAsia="Calibri" w:hAnsi="Times New Roman" w:cs="Times New Roman"/>
                <w:b/>
                <w:color w:val="C00000"/>
                <w:sz w:val="17"/>
                <w:szCs w:val="17"/>
                <w:lang w:val="kk"/>
              </w:rPr>
              <w:t>100 АЕК</w:t>
            </w:r>
          </w:p>
        </w:tc>
      </w:tr>
      <w:tr w:rsidR="006E1EDD" w:rsidRPr="00956E80" w14:paraId="7F96623A" w14:textId="7CCAB3B9" w:rsidTr="006E1EDD">
        <w:trPr>
          <w:trHeight w:val="1550"/>
        </w:trPr>
        <w:tc>
          <w:tcPr>
            <w:tcW w:w="503" w:type="dxa"/>
            <w:shd w:val="clear" w:color="auto" w:fill="auto"/>
            <w:vAlign w:val="center"/>
          </w:tcPr>
          <w:p w14:paraId="16E3F584"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2</w:t>
            </w:r>
          </w:p>
        </w:tc>
        <w:tc>
          <w:tcPr>
            <w:tcW w:w="2753" w:type="dxa"/>
            <w:shd w:val="clear" w:color="auto" w:fill="D9D9D9"/>
            <w:vAlign w:val="center"/>
          </w:tcPr>
          <w:p w14:paraId="424E8858" w14:textId="34DD7391"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9D16512" w14:textId="46B9CD03"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b/>
                <w:color w:val="000000"/>
                <w:sz w:val="17"/>
                <w:szCs w:val="17"/>
                <w:lang w:val="kk"/>
              </w:rPr>
              <w:t xml:space="preserve"> 5 млн. теңгеден 50 млн. теңгеге дейінгі сомадағы мәмілелер</w:t>
            </w:r>
          </w:p>
        </w:tc>
        <w:tc>
          <w:tcPr>
            <w:tcW w:w="1139" w:type="dxa"/>
            <w:shd w:val="clear" w:color="auto" w:fill="auto"/>
            <w:vAlign w:val="center"/>
          </w:tcPr>
          <w:p w14:paraId="511F39D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b/>
                <w:color w:val="C00000"/>
                <w:sz w:val="17"/>
                <w:szCs w:val="17"/>
                <w:lang w:val="kk"/>
              </w:rPr>
              <w:t>300 АЕК</w:t>
            </w:r>
          </w:p>
          <w:p w14:paraId="35FB69FD"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91DEA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600 АЕК</w:t>
            </w:r>
          </w:p>
          <w:p w14:paraId="5BAD7CF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299FE78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7682BB33"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120 АЕК  </w:t>
            </w:r>
          </w:p>
          <w:p w14:paraId="10548F7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-10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tc>
        <w:tc>
          <w:tcPr>
            <w:tcW w:w="1418" w:type="dxa"/>
            <w:shd w:val="clear" w:color="auto" w:fill="auto"/>
            <w:vAlign w:val="center"/>
          </w:tcPr>
          <w:p w14:paraId="1710662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30 АЕК </w:t>
            </w:r>
          </w:p>
        </w:tc>
        <w:tc>
          <w:tcPr>
            <w:tcW w:w="1690" w:type="dxa"/>
            <w:shd w:val="clear" w:color="auto" w:fill="auto"/>
            <w:vAlign w:val="center"/>
          </w:tcPr>
          <w:p w14:paraId="6B2AC5A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62EE2E79"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300 АЕК</w:t>
            </w:r>
          </w:p>
          <w:p w14:paraId="6679D3D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6ABFB61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75 АЕК</w:t>
            </w:r>
          </w:p>
          <w:p w14:paraId="57B88C68"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bottom w:val="single" w:sz="4" w:space="0" w:color="auto"/>
            </w:tcBorders>
            <w:shd w:val="clear" w:color="auto" w:fill="auto"/>
            <w:vAlign w:val="center"/>
          </w:tcPr>
          <w:p w14:paraId="15DE8A3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3526357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5DEF50A4" w14:textId="7AA50DD5"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249A0664" w14:textId="668A2E19"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150 АЕК</w:t>
            </w:r>
          </w:p>
        </w:tc>
        <w:tc>
          <w:tcPr>
            <w:tcW w:w="1995" w:type="dxa"/>
            <w:vMerge/>
            <w:vAlign w:val="center"/>
          </w:tcPr>
          <w:p w14:paraId="43F3EB4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701" w:type="dxa"/>
            <w:vMerge/>
          </w:tcPr>
          <w:p w14:paraId="075DB313" w14:textId="77777777" w:rsidR="006E1EDD" w:rsidRPr="00956E80" w:rsidRDefault="006E1EDD" w:rsidP="006E1EDD"/>
        </w:tc>
      </w:tr>
      <w:tr w:rsidR="006E1EDD" w:rsidRPr="00956E80" w14:paraId="58B37A65" w14:textId="2052435F" w:rsidTr="006E1EDD">
        <w:trPr>
          <w:trHeight w:val="276"/>
        </w:trPr>
        <w:tc>
          <w:tcPr>
            <w:tcW w:w="503" w:type="dxa"/>
            <w:shd w:val="clear" w:color="auto" w:fill="auto"/>
            <w:vAlign w:val="center"/>
          </w:tcPr>
          <w:p w14:paraId="47433DEF"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3</w:t>
            </w:r>
          </w:p>
        </w:tc>
        <w:tc>
          <w:tcPr>
            <w:tcW w:w="2753" w:type="dxa"/>
            <w:shd w:val="clear" w:color="auto" w:fill="D9D9D9"/>
            <w:vAlign w:val="center"/>
          </w:tcPr>
          <w:p w14:paraId="79ABE531" w14:textId="0FCFF78A"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284942B" w14:textId="5BFB988D"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50 млн. теңге және одан жоғаы жоғары сомадағы мәмілелер</w:t>
            </w:r>
          </w:p>
        </w:tc>
        <w:tc>
          <w:tcPr>
            <w:tcW w:w="1139" w:type="dxa"/>
            <w:shd w:val="clear" w:color="auto" w:fill="auto"/>
            <w:vAlign w:val="center"/>
          </w:tcPr>
          <w:p w14:paraId="433509C4"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500 АЕК</w:t>
            </w:r>
          </w:p>
          <w:p w14:paraId="64C47D5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610A5ED5"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1000 АЕК</w:t>
            </w:r>
          </w:p>
          <w:p w14:paraId="65E4E97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top w:val="single" w:sz="4" w:space="0" w:color="auto"/>
            </w:tcBorders>
            <w:shd w:val="clear" w:color="auto" w:fill="auto"/>
            <w:vAlign w:val="center"/>
          </w:tcPr>
          <w:p w14:paraId="19DE77F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Қауіпті жүктерді тасымалдау қағидаларын бұзу – </w:t>
            </w:r>
          </w:p>
          <w:p w14:paraId="06AE105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200 АЕК  </w:t>
            </w:r>
          </w:p>
          <w:p w14:paraId="5EB65F0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-20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p w14:paraId="156885E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418" w:type="dxa"/>
            <w:shd w:val="clear" w:color="auto" w:fill="auto"/>
            <w:vAlign w:val="center"/>
          </w:tcPr>
          <w:p w14:paraId="65E6D500"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690" w:type="dxa"/>
            <w:tcBorders>
              <w:right w:val="single" w:sz="4" w:space="0" w:color="auto"/>
            </w:tcBorders>
            <w:shd w:val="clear" w:color="auto" w:fill="auto"/>
            <w:vAlign w:val="center"/>
          </w:tcPr>
          <w:p w14:paraId="63863D29"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w:t>
            </w:r>
          </w:p>
          <w:p w14:paraId="2FE537C5"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i/>
                <w:color w:val="C00000"/>
                <w:sz w:val="17"/>
                <w:szCs w:val="17"/>
              </w:rPr>
            </w:pPr>
            <w:r w:rsidRPr="00956E80">
              <w:rPr>
                <w:rFonts w:ascii="Times New Roman" w:eastAsia="Calibri" w:hAnsi="Times New Roman" w:cs="Times New Roman"/>
                <w:b/>
                <w:color w:val="C00000"/>
                <w:sz w:val="17"/>
                <w:szCs w:val="17"/>
                <w:lang w:val="kk"/>
              </w:rPr>
              <w:t>400 АЕК</w:t>
            </w:r>
          </w:p>
          <w:p w14:paraId="07994D4C"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1F371016"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1E70EDA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C0838"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43BF116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61814AA8" w14:textId="6B3F2FBB"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r w:rsidRPr="00956E80">
              <w:rPr>
                <w:rFonts w:ascii="Times New Roman" w:eastAsia="Calibri" w:hAnsi="Times New Roman" w:cs="Times New Roman"/>
                <w:b/>
                <w:color w:val="C00000"/>
                <w:sz w:val="17"/>
                <w:szCs w:val="17"/>
                <w:lang w:val="kk"/>
              </w:rPr>
              <w:t>200 АЕК</w:t>
            </w:r>
          </w:p>
        </w:tc>
        <w:tc>
          <w:tcPr>
            <w:tcW w:w="1995" w:type="dxa"/>
            <w:vMerge/>
            <w:tcBorders>
              <w:left w:val="single" w:sz="4" w:space="0" w:color="auto"/>
            </w:tcBorders>
            <w:vAlign w:val="center"/>
          </w:tcPr>
          <w:p w14:paraId="381A015F"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p>
        </w:tc>
        <w:tc>
          <w:tcPr>
            <w:tcW w:w="1701" w:type="dxa"/>
            <w:vMerge/>
          </w:tcPr>
          <w:p w14:paraId="0EEF5920" w14:textId="77777777" w:rsidR="006E1EDD" w:rsidRPr="00956E80" w:rsidRDefault="006E1EDD" w:rsidP="006E1EDD"/>
        </w:tc>
      </w:tr>
    </w:tbl>
    <w:p w14:paraId="064C4F72" w14:textId="77777777" w:rsidR="00956E80" w:rsidRDefault="00956E80" w:rsidP="00DC15A5">
      <w:pPr>
        <w:pStyle w:val="a7"/>
        <w:spacing w:after="0" w:line="240" w:lineRule="auto"/>
        <w:ind w:left="0"/>
        <w:jc w:val="both"/>
        <w:rPr>
          <w:rFonts w:ascii="Times New Roman" w:eastAsia="Calibri" w:hAnsi="Times New Roman" w:cs="Times New Roman"/>
          <w:color w:val="000000"/>
          <w:sz w:val="16"/>
          <w:szCs w:val="20"/>
          <w:lang w:val="kk"/>
        </w:rPr>
      </w:pPr>
    </w:p>
    <w:p w14:paraId="786B4935" w14:textId="75F9AC1A"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FC88C3A" w:rsidR="00DE0420" w:rsidRDefault="00DE0420" w:rsidP="001465A9">
      <w:pPr>
        <w:spacing w:after="0" w:line="240" w:lineRule="auto"/>
        <w:rPr>
          <w:rFonts w:ascii="Times New Roman" w:eastAsia="Calibri" w:hAnsi="Times New Roman" w:cs="Times New Roman"/>
          <w:b/>
          <w:color w:val="000000"/>
          <w:sz w:val="20"/>
          <w:szCs w:val="20"/>
          <w:lang w:val="kk"/>
        </w:rPr>
      </w:pPr>
    </w:p>
    <w:p w14:paraId="4BB8791E" w14:textId="38906E67" w:rsidR="00E2426B" w:rsidRDefault="00E2426B" w:rsidP="001465A9">
      <w:pPr>
        <w:spacing w:after="0" w:line="240" w:lineRule="auto"/>
        <w:rPr>
          <w:rFonts w:ascii="Times New Roman" w:eastAsia="Calibri" w:hAnsi="Times New Roman" w:cs="Times New Roman"/>
          <w:b/>
          <w:color w:val="000000"/>
          <w:sz w:val="20"/>
          <w:szCs w:val="20"/>
          <w:lang w:val="kk"/>
        </w:rPr>
      </w:pPr>
    </w:p>
    <w:p w14:paraId="17E842C8" w14:textId="77777777" w:rsidR="00956E80" w:rsidRPr="0037687B" w:rsidRDefault="00956E8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lastRenderedPageBreak/>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7054C7"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7054C7"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7054C7"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7054C7"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7054C7"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lastRenderedPageBreak/>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323E39FB" w:rsidR="00DB482E" w:rsidRDefault="00D817AF" w:rsidP="006435B6">
      <w:pPr>
        <w:ind w:firstLine="400"/>
        <w:jc w:val="both"/>
        <w:rPr>
          <w:rFonts w:ascii="Times New Roman" w:eastAsia="Calibri" w:hAnsi="Times New Roman" w:cs="Times New Roman"/>
          <w:i/>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p>
    <w:sectPr w:rsidR="00DB482E"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1550" w14:textId="77777777" w:rsidR="001E2488" w:rsidRDefault="001E2488">
      <w:pPr>
        <w:spacing w:after="0" w:line="240" w:lineRule="auto"/>
      </w:pPr>
      <w:r>
        <w:separator/>
      </w:r>
    </w:p>
  </w:endnote>
  <w:endnote w:type="continuationSeparator" w:id="0">
    <w:p w14:paraId="50D9DE82" w14:textId="77777777" w:rsidR="001E2488" w:rsidRDefault="001E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63DF" w14:textId="77777777" w:rsidR="005B2889" w:rsidRDefault="00D817AF">
    <w:pPr>
      <w:pStyle w:val="a3"/>
      <w:jc w:val="right"/>
    </w:pPr>
    <w:r>
      <w:fldChar w:fldCharType="begin"/>
    </w:r>
    <w:r>
      <w:instrText xml:space="preserve"> PAGE   \* MERGEFORMAT </w:instrText>
    </w:r>
    <w:r>
      <w:fldChar w:fldCharType="separate"/>
    </w:r>
    <w:r w:rsidR="00D63700">
      <w:rPr>
        <w:noProof/>
      </w:rPr>
      <w:t>13</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FFCB" w14:textId="77777777" w:rsidR="001E2488" w:rsidRDefault="001E2488">
      <w:pPr>
        <w:spacing w:after="0" w:line="240" w:lineRule="auto"/>
      </w:pPr>
      <w:r>
        <w:separator/>
      </w:r>
    </w:p>
  </w:footnote>
  <w:footnote w:type="continuationSeparator" w:id="0">
    <w:p w14:paraId="240054F1" w14:textId="77777777" w:rsidR="001E2488" w:rsidRDefault="001E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15:restartNumberingAfterBreak="0">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15:restartNumberingAfterBreak="0">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15:restartNumberingAfterBreak="0">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15:restartNumberingAfterBreak="0">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15:restartNumberingAfterBreak="0">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15:restartNumberingAfterBreak="0">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15:restartNumberingAfterBreak="0">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15:restartNumberingAfterBreak="0">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15:restartNumberingAfterBreak="0">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15:restartNumberingAfterBreak="0">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15:restartNumberingAfterBreak="0">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15:restartNumberingAfterBreak="0">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15:restartNumberingAfterBreak="0">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15:restartNumberingAfterBreak="0">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15:restartNumberingAfterBreak="0">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15:restartNumberingAfterBreak="0">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15:restartNumberingAfterBreak="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15:restartNumberingAfterBreak="0">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6QdFmlGSufpQ6T1JUqMYx148hkVQeGs+fEesRyaiO9oCgsWzxm62Zp2m5j0WFz+yQ2RE7UA645cEH7rRkZH1ZQ==" w:salt="iXr3vIGv99mN8GpYZUmbB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601"/>
    <w:rsid w:val="000C3AA9"/>
    <w:rsid w:val="000E6946"/>
    <w:rsid w:val="000F0F79"/>
    <w:rsid w:val="000F521F"/>
    <w:rsid w:val="000F5FFB"/>
    <w:rsid w:val="000F71FB"/>
    <w:rsid w:val="00105E73"/>
    <w:rsid w:val="00127A02"/>
    <w:rsid w:val="00143901"/>
    <w:rsid w:val="001465A9"/>
    <w:rsid w:val="00153388"/>
    <w:rsid w:val="00161F10"/>
    <w:rsid w:val="00165C01"/>
    <w:rsid w:val="0019289E"/>
    <w:rsid w:val="00192E5A"/>
    <w:rsid w:val="00192F6F"/>
    <w:rsid w:val="00197B72"/>
    <w:rsid w:val="001E2488"/>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F28"/>
    <w:rsid w:val="00387984"/>
    <w:rsid w:val="003A4D21"/>
    <w:rsid w:val="003B0BDD"/>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5FA"/>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1EDD"/>
    <w:rsid w:val="006E478E"/>
    <w:rsid w:val="006F1F09"/>
    <w:rsid w:val="006F2C25"/>
    <w:rsid w:val="006F7CB6"/>
    <w:rsid w:val="00705008"/>
    <w:rsid w:val="007051E7"/>
    <w:rsid w:val="007054C7"/>
    <w:rsid w:val="00717325"/>
    <w:rsid w:val="00722E03"/>
    <w:rsid w:val="0072720D"/>
    <w:rsid w:val="00732B07"/>
    <w:rsid w:val="007502FE"/>
    <w:rsid w:val="007542FF"/>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14038"/>
    <w:rsid w:val="00926254"/>
    <w:rsid w:val="00951168"/>
    <w:rsid w:val="00956E80"/>
    <w:rsid w:val="00957502"/>
    <w:rsid w:val="0098111D"/>
    <w:rsid w:val="00984C82"/>
    <w:rsid w:val="009A60E5"/>
    <w:rsid w:val="009B7855"/>
    <w:rsid w:val="009C6344"/>
    <w:rsid w:val="009D2692"/>
    <w:rsid w:val="009D4680"/>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E6CD7"/>
    <w:rsid w:val="00AF48A8"/>
    <w:rsid w:val="00AF7B54"/>
    <w:rsid w:val="00B0051E"/>
    <w:rsid w:val="00B028C1"/>
    <w:rsid w:val="00B04FA2"/>
    <w:rsid w:val="00B06556"/>
    <w:rsid w:val="00B16B99"/>
    <w:rsid w:val="00B17FCA"/>
    <w:rsid w:val="00B24C77"/>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13327"/>
    <w:rsid w:val="00C209E4"/>
    <w:rsid w:val="00C24A45"/>
    <w:rsid w:val="00C31911"/>
    <w:rsid w:val="00C32EEF"/>
    <w:rsid w:val="00C34021"/>
    <w:rsid w:val="00C415BC"/>
    <w:rsid w:val="00C46543"/>
    <w:rsid w:val="00C472E6"/>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6E60"/>
    <w:rsid w:val="00D347E6"/>
    <w:rsid w:val="00D34B35"/>
    <w:rsid w:val="00D457F2"/>
    <w:rsid w:val="00D46A05"/>
    <w:rsid w:val="00D52AF8"/>
    <w:rsid w:val="00D57A86"/>
    <w:rsid w:val="00D63700"/>
    <w:rsid w:val="00D7370D"/>
    <w:rsid w:val="00D7412F"/>
    <w:rsid w:val="00D817AF"/>
    <w:rsid w:val="00D84D93"/>
    <w:rsid w:val="00D87827"/>
    <w:rsid w:val="00D95E16"/>
    <w:rsid w:val="00DB1F44"/>
    <w:rsid w:val="00DB482E"/>
    <w:rsid w:val="00DC15A5"/>
    <w:rsid w:val="00DC7DD1"/>
    <w:rsid w:val="00DD6B6F"/>
    <w:rsid w:val="00DD7DE1"/>
    <w:rsid w:val="00DE0420"/>
    <w:rsid w:val="00DE3AB3"/>
    <w:rsid w:val="00DE3C84"/>
    <w:rsid w:val="00DE4634"/>
    <w:rsid w:val="00DF24E9"/>
    <w:rsid w:val="00E06177"/>
    <w:rsid w:val="00E07324"/>
    <w:rsid w:val="00E11A34"/>
    <w:rsid w:val="00E12A17"/>
    <w:rsid w:val="00E13348"/>
    <w:rsid w:val="00E15DF5"/>
    <w:rsid w:val="00E21636"/>
    <w:rsid w:val="00E2426B"/>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15:docId w15:val="{00231740-986D-40EA-A8F3-F46E5DD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F94E-6321-408B-B139-E96999B3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7227</Words>
  <Characters>41194</Characters>
  <Application>Microsoft Office Word</Application>
  <DocSecurity>8</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Маулимов Нурлан Тенелгенович</cp:lastModifiedBy>
  <cp:revision>24</cp:revision>
  <cp:lastPrinted>2019-12-19T03:34:00Z</cp:lastPrinted>
  <dcterms:created xsi:type="dcterms:W3CDTF">2021-09-06T04:09:00Z</dcterms:created>
  <dcterms:modified xsi:type="dcterms:W3CDTF">2024-05-15T09:45:00Z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200189482</vt:i4>
  </property>
  <property fmtid="{D5CDD505-2E9C-101B-9397-08002B2CF9AE}" pid="3" name="_NewReviewCycle">
    <vt:lpwstr/>
  </property>
  <property fmtid="{D5CDD505-2E9C-101B-9397-08002B2CF9AE}" pid="4" name="_EmailSubject">
    <vt:lpwstr/>
  </property>
  <property fmtid="{D5CDD505-2E9C-101B-9397-08002B2CF9AE}" pid="5" name="_AuthorEmail">
    <vt:lpwstr>A_Utegenov2@KBM.KZ</vt:lpwstr>
  </property>
  <property fmtid="{D5CDD505-2E9C-101B-9397-08002B2CF9AE}" pid="6" name="_AuthorEmailDisplayName">
    <vt:lpwstr>Утегенов Арман Мажитович</vt:lpwstr>
  </property>
</Properties>
</file>