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7A0F3F84" w14:textId="77777777" w:rsidR="00AC6F33" w:rsidRPr="00400811" w:rsidRDefault="00AC6F33" w:rsidP="009813D7">
      <w:pPr>
        <w:jc w:val="center"/>
        <w:rPr>
          <w:rFonts w:ascii="Times New Roman" w:hAnsi="Times New Roman" w:cs="Times New Roman"/>
          <w:b/>
          <w:color w:val="2B2B2B"/>
          <w:sz w:val="24"/>
          <w:szCs w:val="24"/>
          <w:shd w:val="clear" w:color="auto" w:fill="FFFFFF"/>
          <w:lang w:val="kk-KZ"/>
        </w:rPr>
      </w:pPr>
    </w:p>
    <w:p w14:paraId="3604AEAE" w14:textId="33ED5F0E" w:rsidR="009813D7" w:rsidRDefault="009813D7" w:rsidP="009813D7">
      <w:pPr>
        <w:jc w:val="center"/>
        <w:rPr>
          <w:rFonts w:ascii="Times New Roman" w:hAnsi="Times New Roman" w:cs="Times New Roman"/>
          <w:color w:val="2B2B2B"/>
          <w:sz w:val="24"/>
          <w:szCs w:val="24"/>
          <w:shd w:val="clear" w:color="auto" w:fill="FFFFFF"/>
          <w:lang w:val="kk-KZ"/>
        </w:rPr>
      </w:pPr>
      <w:r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Pr="00400811">
        <w:rPr>
          <w:rFonts w:ascii="Times New Roman" w:hAnsi="Times New Roman" w:cs="Times New Roman"/>
          <w:color w:val="2B2B2B"/>
          <w:sz w:val="24"/>
          <w:szCs w:val="24"/>
          <w:shd w:val="clear" w:color="auto" w:fill="FFFFFF"/>
          <w:lang w:val="kk-KZ"/>
        </w:rPr>
        <w:t>)</w:t>
      </w:r>
    </w:p>
    <w:tbl>
      <w:tblPr>
        <w:tblW w:w="8637" w:type="dxa"/>
        <w:tblLook w:val="04A0" w:firstRow="1" w:lastRow="0" w:firstColumn="1" w:lastColumn="0" w:noHBand="0" w:noVBand="1"/>
      </w:tblPr>
      <w:tblGrid>
        <w:gridCol w:w="3818"/>
        <w:gridCol w:w="4819"/>
      </w:tblGrid>
      <w:tr w:rsidR="003B1675" w:rsidRPr="003B1675" w14:paraId="7D4CB454" w14:textId="77777777" w:rsidTr="003B1675">
        <w:trPr>
          <w:trHeight w:val="645"/>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EAC41" w14:textId="77777777" w:rsidR="003B1675" w:rsidRPr="003B1675" w:rsidRDefault="003B1675" w:rsidP="003B1675">
            <w:pPr>
              <w:spacing w:after="0" w:line="240" w:lineRule="auto"/>
              <w:jc w:val="center"/>
              <w:rPr>
                <w:rFonts w:ascii="Times New Roman" w:eastAsia="Times New Roman" w:hAnsi="Times New Roman" w:cs="Times New Roman"/>
                <w:b/>
                <w:bCs/>
                <w:color w:val="000000"/>
                <w:sz w:val="24"/>
                <w:szCs w:val="24"/>
                <w:lang w:eastAsia="ru-RU"/>
              </w:rPr>
            </w:pPr>
            <w:r w:rsidRPr="003B1675">
              <w:rPr>
                <w:rFonts w:ascii="Times New Roman" w:eastAsia="Times New Roman" w:hAnsi="Times New Roman" w:cs="Times New Roman"/>
                <w:b/>
                <w:bCs/>
                <w:color w:val="000000"/>
                <w:sz w:val="24"/>
                <w:szCs w:val="24"/>
                <w:lang w:eastAsia="ru-RU"/>
              </w:rPr>
              <w:t>Наименование работ/услуг</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14:paraId="5CA33C49" w14:textId="77777777" w:rsidR="003B1675" w:rsidRPr="003B1675" w:rsidRDefault="003B1675" w:rsidP="003B1675">
            <w:pPr>
              <w:spacing w:after="0" w:line="240" w:lineRule="auto"/>
              <w:jc w:val="center"/>
              <w:rPr>
                <w:rFonts w:ascii="Times New Roman" w:eastAsia="Times New Roman" w:hAnsi="Times New Roman" w:cs="Times New Roman"/>
                <w:b/>
                <w:bCs/>
                <w:color w:val="000000"/>
                <w:sz w:val="24"/>
                <w:szCs w:val="24"/>
                <w:lang w:eastAsia="ru-RU"/>
              </w:rPr>
            </w:pPr>
            <w:r w:rsidRPr="003B1675">
              <w:rPr>
                <w:rFonts w:ascii="Times New Roman" w:eastAsia="Times New Roman" w:hAnsi="Times New Roman" w:cs="Times New Roman"/>
                <w:b/>
                <w:bCs/>
                <w:color w:val="000000"/>
                <w:sz w:val="24"/>
                <w:szCs w:val="24"/>
                <w:lang w:eastAsia="ru-RU"/>
              </w:rPr>
              <w:t>Стоимость услуг (этапов) без НДС</w:t>
            </w:r>
          </w:p>
        </w:tc>
      </w:tr>
      <w:tr w:rsidR="003B1675" w:rsidRPr="003B1675" w14:paraId="033B1C40"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2AEE55E"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Наурыз</w:t>
            </w:r>
          </w:p>
        </w:tc>
        <w:tc>
          <w:tcPr>
            <w:tcW w:w="4819" w:type="dxa"/>
            <w:tcBorders>
              <w:top w:val="nil"/>
              <w:left w:val="nil"/>
              <w:bottom w:val="single" w:sz="8" w:space="0" w:color="auto"/>
              <w:right w:val="single" w:sz="8" w:space="0" w:color="auto"/>
            </w:tcBorders>
            <w:shd w:val="clear" w:color="auto" w:fill="auto"/>
            <w:vAlign w:val="center"/>
            <w:hideMark/>
          </w:tcPr>
          <w:p w14:paraId="0AA1FB87"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1E9AA9F2"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DB7822F"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Сәуір</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5409FF79"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138EEA39"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E765E90"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Мамыр</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0E169641"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305681DF"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CBC3F6E"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Маусым</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0CDA5E0B"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01B94775"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1C1127F"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Шілде</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66EF3460"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72BDE370"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BF7124B"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Тамыз</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1085A955"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6CA32450"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9CB3D6A"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Қыркүйек</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050003EC"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6DCEA9DA"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9B4F804"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Қазан</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3E9B7B1C"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51895C18" w14:textId="77777777" w:rsidTr="003B1675">
        <w:trPr>
          <w:trHeight w:val="30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C56F161"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Қараша</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1E76E058"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w:t>
            </w:r>
          </w:p>
        </w:tc>
      </w:tr>
      <w:tr w:rsidR="003B1675" w:rsidRPr="003B1675" w14:paraId="5695AF89"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D9EF38A"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proofErr w:type="spellStart"/>
            <w:r w:rsidRPr="003B1675">
              <w:rPr>
                <w:rFonts w:ascii="Times New Roman" w:eastAsia="Times New Roman" w:hAnsi="Times New Roman" w:cs="Times New Roman"/>
                <w:color w:val="000000"/>
                <w:sz w:val="24"/>
                <w:szCs w:val="24"/>
                <w:lang w:eastAsia="ru-RU"/>
              </w:rPr>
              <w:t>Желтоқсан</w:t>
            </w:r>
            <w:proofErr w:type="spellEnd"/>
          </w:p>
        </w:tc>
        <w:tc>
          <w:tcPr>
            <w:tcW w:w="4819" w:type="dxa"/>
            <w:tcBorders>
              <w:top w:val="nil"/>
              <w:left w:val="nil"/>
              <w:bottom w:val="single" w:sz="8" w:space="0" w:color="auto"/>
              <w:right w:val="single" w:sz="8" w:space="0" w:color="auto"/>
            </w:tcBorders>
            <w:shd w:val="clear" w:color="auto" w:fill="auto"/>
            <w:vAlign w:val="center"/>
            <w:hideMark/>
          </w:tcPr>
          <w:p w14:paraId="75F1C168"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833337</w:t>
            </w:r>
          </w:p>
        </w:tc>
      </w:tr>
      <w:tr w:rsidR="003B1675" w:rsidRPr="003B1675" w14:paraId="27329B16" w14:textId="77777777" w:rsidTr="003B1675">
        <w:trPr>
          <w:trHeight w:val="330"/>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77C053E" w14:textId="77777777" w:rsidR="003B1675" w:rsidRPr="003B1675" w:rsidRDefault="003B1675" w:rsidP="003B1675">
            <w:pPr>
              <w:spacing w:after="0" w:line="240" w:lineRule="auto"/>
              <w:jc w:val="center"/>
              <w:rPr>
                <w:rFonts w:ascii="Times New Roman" w:eastAsia="Times New Roman" w:hAnsi="Times New Roman" w:cs="Times New Roman"/>
                <w:b/>
                <w:bCs/>
                <w:color w:val="000000"/>
                <w:sz w:val="24"/>
                <w:szCs w:val="24"/>
                <w:lang w:eastAsia="ru-RU"/>
              </w:rPr>
            </w:pPr>
            <w:r w:rsidRPr="003B1675">
              <w:rPr>
                <w:rFonts w:ascii="Times New Roman" w:eastAsia="Times New Roman" w:hAnsi="Times New Roman" w:cs="Times New Roman"/>
                <w:b/>
                <w:bCs/>
                <w:color w:val="000000"/>
                <w:sz w:val="24"/>
                <w:szCs w:val="24"/>
                <w:lang w:eastAsia="ru-RU"/>
              </w:rPr>
              <w:t>Общая стоимость услуг</w:t>
            </w:r>
          </w:p>
        </w:tc>
        <w:tc>
          <w:tcPr>
            <w:tcW w:w="4819" w:type="dxa"/>
            <w:tcBorders>
              <w:top w:val="nil"/>
              <w:left w:val="nil"/>
              <w:bottom w:val="single" w:sz="8" w:space="0" w:color="auto"/>
              <w:right w:val="single" w:sz="8" w:space="0" w:color="auto"/>
            </w:tcBorders>
            <w:shd w:val="clear" w:color="auto" w:fill="auto"/>
            <w:vAlign w:val="center"/>
            <w:hideMark/>
          </w:tcPr>
          <w:p w14:paraId="7BE1F9A1" w14:textId="77777777" w:rsidR="003B1675" w:rsidRPr="003B1675" w:rsidRDefault="003B1675" w:rsidP="003B1675">
            <w:pPr>
              <w:spacing w:after="0" w:line="240" w:lineRule="auto"/>
              <w:jc w:val="center"/>
              <w:rPr>
                <w:rFonts w:ascii="Times New Roman" w:eastAsia="Times New Roman" w:hAnsi="Times New Roman" w:cs="Times New Roman"/>
                <w:color w:val="000000"/>
                <w:sz w:val="24"/>
                <w:szCs w:val="24"/>
                <w:lang w:eastAsia="ru-RU"/>
              </w:rPr>
            </w:pPr>
            <w:r w:rsidRPr="003B1675">
              <w:rPr>
                <w:rFonts w:ascii="Times New Roman" w:eastAsia="Times New Roman" w:hAnsi="Times New Roman" w:cs="Times New Roman"/>
                <w:color w:val="000000"/>
                <w:sz w:val="24"/>
                <w:szCs w:val="24"/>
                <w:lang w:eastAsia="ru-RU"/>
              </w:rPr>
              <w:t>8333334</w:t>
            </w:r>
          </w:p>
        </w:tc>
      </w:tr>
    </w:tbl>
    <w:p w14:paraId="34647AA5" w14:textId="77777777" w:rsidR="006E4CFD" w:rsidRPr="00400811" w:rsidRDefault="006E4CFD" w:rsidP="009813D7">
      <w:pPr>
        <w:jc w:val="center"/>
        <w:rPr>
          <w:rFonts w:ascii="Times New Roman" w:hAnsi="Times New Roman" w:cs="Times New Roman"/>
          <w:color w:val="2B2B2B"/>
          <w:sz w:val="24"/>
          <w:szCs w:val="24"/>
          <w:shd w:val="clear" w:color="auto" w:fill="FFFFFF"/>
          <w:lang w:val="kk-KZ"/>
        </w:rPr>
      </w:pPr>
    </w:p>
    <w:p w14:paraId="51E8A618" w14:textId="77777777" w:rsidR="0040347A" w:rsidRPr="0012489E" w:rsidRDefault="00B63F3A" w:rsidP="00AC6F33">
      <w:pPr>
        <w:rPr>
          <w:rFonts w:ascii="Times New Roman" w:hAnsi="Times New Roman" w:cs="Times New Roman"/>
          <w:b/>
          <w:sz w:val="24"/>
          <w:szCs w:val="24"/>
          <w:lang w:val="kk-KZ"/>
        </w:rPr>
      </w:pPr>
      <w:r w:rsidRPr="00886348">
        <w:rPr>
          <w:b/>
          <w:sz w:val="24"/>
          <w:szCs w:val="24"/>
          <w:lang w:val="kk-KZ"/>
        </w:rPr>
        <w:t xml:space="preserve">* </w:t>
      </w:r>
      <w:r w:rsidRPr="00886348">
        <w:rPr>
          <w:rFonts w:ascii="Times New Roman" w:hAnsi="Times New Roman" w:cs="Times New Roman"/>
          <w:b/>
          <w:i/>
          <w:sz w:val="24"/>
          <w:szCs w:val="24"/>
          <w:lang w:val="kk-KZ"/>
        </w:rPr>
        <w:t xml:space="preserve">Ескерту: </w:t>
      </w:r>
      <w:r>
        <w:rPr>
          <w:rFonts w:ascii="Times New Roman" w:hAnsi="Times New Roman" w:cs="Times New Roman"/>
          <w:b/>
          <w:i/>
          <w:sz w:val="24"/>
          <w:szCs w:val="24"/>
          <w:lang w:val="kk-KZ"/>
        </w:rPr>
        <w:t xml:space="preserve">құнының </w:t>
      </w:r>
      <w:r w:rsidRPr="00886348">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3D2215F5" w14:textId="58FFBC12" w:rsidR="0040347A" w:rsidRPr="00886348" w:rsidRDefault="00886348" w:rsidP="00886348">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w:t>
            </w: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sidR="006D3BAD">
              <w:rPr>
                <w:rFonts w:ascii="Times New Roman" w:eastAsia="Calibri" w:hAnsi="Times New Roman" w:cs="Times New Roman"/>
                <w:b/>
                <w:iCs/>
                <w:sz w:val="24"/>
                <w:szCs w:val="24"/>
              </w:rPr>
              <w:t>Орындаушы</w:t>
            </w:r>
            <w:proofErr w:type="spellEnd"/>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1620D6">
        <w:rPr>
          <w:rFonts w:ascii="Times New Roman" w:hAnsi="Times New Roman" w:cs="Times New Roman"/>
          <w:b/>
          <w:sz w:val="24"/>
          <w:szCs w:val="24"/>
          <w:lang w:eastAsia="ru-RU"/>
        </w:rPr>
        <w:t>Жұмыстарды</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орындаудың</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күнтізбелік</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кестесі</w:t>
      </w:r>
      <w:proofErr w:type="spellEnd"/>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740" w:type="dxa"/>
        <w:tblLook w:val="04A0" w:firstRow="1" w:lastRow="0" w:firstColumn="1" w:lastColumn="0" w:noHBand="0" w:noVBand="1"/>
      </w:tblPr>
      <w:tblGrid>
        <w:gridCol w:w="3060"/>
        <w:gridCol w:w="4760"/>
        <w:gridCol w:w="1920"/>
      </w:tblGrid>
      <w:tr w:rsidR="00886348" w:rsidRPr="00886348" w14:paraId="260E64DF" w14:textId="77777777" w:rsidTr="00886348">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7DFF"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5BBF823E"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proofErr w:type="spellStart"/>
            <w:r w:rsidRPr="00886348">
              <w:rPr>
                <w:rFonts w:ascii="Calibri" w:eastAsia="Times New Roman" w:hAnsi="Calibri" w:cs="Calibri"/>
                <w:b/>
                <w:bCs/>
                <w:color w:val="000000"/>
                <w:lang w:eastAsia="ru-RU"/>
              </w:rPr>
              <w:t>Жұмыстар</w:t>
            </w:r>
            <w:proofErr w:type="spellEnd"/>
            <w:r w:rsidRPr="00886348">
              <w:rPr>
                <w:rFonts w:ascii="Calibri" w:eastAsia="Times New Roman" w:hAnsi="Calibri" w:cs="Calibri"/>
                <w:b/>
                <w:bCs/>
                <w:color w:val="000000"/>
                <w:lang w:eastAsia="ru-RU"/>
              </w:rPr>
              <w:t xml:space="preserve"> мен </w:t>
            </w:r>
            <w:proofErr w:type="spellStart"/>
            <w:r w:rsidRPr="00886348">
              <w:rPr>
                <w:rFonts w:ascii="Calibri" w:eastAsia="Times New Roman" w:hAnsi="Calibri" w:cs="Calibri"/>
                <w:b/>
                <w:bCs/>
                <w:color w:val="000000"/>
                <w:lang w:eastAsia="ru-RU"/>
              </w:rPr>
              <w:t>қызметтердің</w:t>
            </w:r>
            <w:proofErr w:type="spellEnd"/>
            <w:r w:rsidRPr="00886348">
              <w:rPr>
                <w:rFonts w:ascii="Calibri" w:eastAsia="Times New Roman" w:hAnsi="Calibri" w:cs="Calibri"/>
                <w:b/>
                <w:bCs/>
                <w:color w:val="000000"/>
                <w:lang w:eastAsia="ru-RU"/>
              </w:rPr>
              <w:t xml:space="preserve"> </w:t>
            </w:r>
            <w:proofErr w:type="spellStart"/>
            <w:r w:rsidRPr="00886348">
              <w:rPr>
                <w:rFonts w:ascii="Calibri" w:eastAsia="Times New Roman" w:hAnsi="Calibri" w:cs="Calibri"/>
                <w:b/>
                <w:bCs/>
                <w:color w:val="000000"/>
                <w:lang w:eastAsia="ru-RU"/>
              </w:rPr>
              <w:t>атауы</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CF45FDC"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proofErr w:type="spellStart"/>
            <w:r w:rsidRPr="00886348">
              <w:rPr>
                <w:rFonts w:ascii="Calibri" w:eastAsia="Times New Roman" w:hAnsi="Calibri" w:cs="Calibri"/>
                <w:b/>
                <w:bCs/>
                <w:color w:val="000000"/>
                <w:lang w:eastAsia="ru-RU"/>
              </w:rPr>
              <w:t>Жеткізу</w:t>
            </w:r>
            <w:proofErr w:type="spellEnd"/>
            <w:r w:rsidRPr="00886348">
              <w:rPr>
                <w:rFonts w:ascii="Calibri" w:eastAsia="Times New Roman" w:hAnsi="Calibri" w:cs="Calibri"/>
                <w:b/>
                <w:bCs/>
                <w:color w:val="000000"/>
                <w:lang w:eastAsia="ru-RU"/>
              </w:rPr>
              <w:t xml:space="preserve"> </w:t>
            </w:r>
            <w:proofErr w:type="spellStart"/>
            <w:r w:rsidRPr="00886348">
              <w:rPr>
                <w:rFonts w:ascii="Calibri" w:eastAsia="Times New Roman" w:hAnsi="Calibri" w:cs="Calibri"/>
                <w:b/>
                <w:bCs/>
                <w:color w:val="000000"/>
                <w:lang w:eastAsia="ru-RU"/>
              </w:rPr>
              <w:t>мерзімі</w:t>
            </w:r>
            <w:proofErr w:type="spellEnd"/>
            <w:r w:rsidRPr="00886348">
              <w:rPr>
                <w:rFonts w:ascii="Calibri" w:eastAsia="Times New Roman" w:hAnsi="Calibri" w:cs="Calibri"/>
                <w:b/>
                <w:bCs/>
                <w:color w:val="000000"/>
                <w:lang w:eastAsia="ru-RU"/>
              </w:rPr>
              <w:t xml:space="preserve"> </w:t>
            </w:r>
          </w:p>
        </w:tc>
      </w:tr>
      <w:tr w:rsidR="00886348" w:rsidRPr="00886348" w14:paraId="4916D74E" w14:textId="77777777" w:rsidTr="00886348">
        <w:trPr>
          <w:trHeight w:val="138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14092B6"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1</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7548FF78" w14:textId="2C64D934" w:rsidR="00886348" w:rsidRPr="00886348" w:rsidRDefault="006E4CFD" w:rsidP="00886348">
            <w:pPr>
              <w:spacing w:after="0" w:line="240" w:lineRule="auto"/>
              <w:jc w:val="center"/>
              <w:rPr>
                <w:rFonts w:ascii="Calibri" w:eastAsia="Times New Roman" w:hAnsi="Calibri" w:cs="Calibri"/>
                <w:b/>
                <w:bCs/>
                <w:color w:val="000000"/>
                <w:lang w:eastAsia="ru-RU"/>
              </w:rPr>
            </w:pPr>
            <w:r w:rsidRPr="006E4CFD">
              <w:rPr>
                <w:rFonts w:ascii="Calibri" w:eastAsia="Times New Roman" w:hAnsi="Calibri" w:cs="Calibri"/>
                <w:b/>
                <w:bCs/>
                <w:color w:val="000000"/>
                <w:lang w:eastAsia="ru-RU"/>
              </w:rPr>
              <w:t>"</w:t>
            </w:r>
            <w:proofErr w:type="spellStart"/>
            <w:r w:rsidRPr="006E4CFD">
              <w:rPr>
                <w:rFonts w:ascii="Calibri" w:eastAsia="Times New Roman" w:hAnsi="Calibri" w:cs="Calibri"/>
                <w:b/>
                <w:bCs/>
                <w:color w:val="000000"/>
                <w:lang w:eastAsia="ru-RU"/>
              </w:rPr>
              <w:t>Қазақойл</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Ақтөбе</w:t>
            </w:r>
            <w:proofErr w:type="spellEnd"/>
            <w:r w:rsidRPr="006E4CFD">
              <w:rPr>
                <w:rFonts w:ascii="Calibri" w:eastAsia="Times New Roman" w:hAnsi="Calibri" w:cs="Calibri"/>
                <w:b/>
                <w:bCs/>
                <w:color w:val="000000"/>
                <w:lang w:eastAsia="ru-RU"/>
              </w:rPr>
              <w:t>" ЖШС "</w:t>
            </w:r>
            <w:proofErr w:type="spellStart"/>
            <w:r w:rsidRPr="006E4CFD">
              <w:rPr>
                <w:rFonts w:ascii="Calibri" w:eastAsia="Times New Roman" w:hAnsi="Calibri" w:cs="Calibri"/>
                <w:b/>
                <w:bCs/>
                <w:color w:val="000000"/>
                <w:lang w:eastAsia="ru-RU"/>
              </w:rPr>
              <w:t>Әлібекмола</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және</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Қожасай</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кен</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орындары</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объектілерінің</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технологиялық</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процестер</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параметрлері</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мониторингінің</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интеграциялық</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жүйесіне</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сервистік</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қызмет</w:t>
            </w:r>
            <w:proofErr w:type="spellEnd"/>
            <w:r w:rsidRPr="006E4CFD">
              <w:rPr>
                <w:rFonts w:ascii="Calibri" w:eastAsia="Times New Roman" w:hAnsi="Calibri" w:cs="Calibri"/>
                <w:b/>
                <w:bCs/>
                <w:color w:val="000000"/>
                <w:lang w:eastAsia="ru-RU"/>
              </w:rPr>
              <w:t xml:space="preserve"> </w:t>
            </w:r>
            <w:proofErr w:type="spellStart"/>
            <w:r w:rsidRPr="006E4CFD">
              <w:rPr>
                <w:rFonts w:ascii="Calibri" w:eastAsia="Times New Roman" w:hAnsi="Calibri" w:cs="Calibri"/>
                <w:b/>
                <w:bCs/>
                <w:color w:val="000000"/>
                <w:lang w:eastAsia="ru-RU"/>
              </w:rPr>
              <w:t>көрсету</w:t>
            </w:r>
            <w:proofErr w:type="spellEnd"/>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C7D9702" w14:textId="443A3BA9"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01.0</w:t>
            </w:r>
            <w:r w:rsidR="003B1675">
              <w:rPr>
                <w:rFonts w:ascii="Calibri" w:eastAsia="Times New Roman" w:hAnsi="Calibri" w:cs="Calibri"/>
                <w:b/>
                <w:bCs/>
                <w:color w:val="000000"/>
                <w:lang w:eastAsia="ru-RU"/>
              </w:rPr>
              <w:t>3</w:t>
            </w:r>
            <w:r w:rsidRPr="00886348">
              <w:rPr>
                <w:rFonts w:ascii="Calibri" w:eastAsia="Times New Roman" w:hAnsi="Calibri" w:cs="Calibri"/>
                <w:b/>
                <w:bCs/>
                <w:color w:val="000000"/>
                <w:lang w:eastAsia="ru-RU"/>
              </w:rPr>
              <w:t xml:space="preserve">.2025 ж. </w:t>
            </w:r>
            <w:proofErr w:type="spellStart"/>
            <w:r w:rsidRPr="00886348">
              <w:rPr>
                <w:rFonts w:ascii="Calibri" w:eastAsia="Times New Roman" w:hAnsi="Calibri" w:cs="Calibri"/>
                <w:b/>
                <w:bCs/>
                <w:color w:val="000000"/>
                <w:lang w:eastAsia="ru-RU"/>
              </w:rPr>
              <w:t>бастап</w:t>
            </w:r>
            <w:proofErr w:type="spellEnd"/>
            <w:r w:rsidRPr="00886348">
              <w:rPr>
                <w:rFonts w:ascii="Calibri" w:eastAsia="Times New Roman" w:hAnsi="Calibri" w:cs="Calibri"/>
                <w:b/>
                <w:bCs/>
                <w:color w:val="000000"/>
                <w:lang w:eastAsia="ru-RU"/>
              </w:rPr>
              <w:t xml:space="preserve">  31.12.2025 ж. </w:t>
            </w:r>
            <w:proofErr w:type="spellStart"/>
            <w:r w:rsidRPr="00886348">
              <w:rPr>
                <w:rFonts w:ascii="Calibri" w:eastAsia="Times New Roman" w:hAnsi="Calibri" w:cs="Calibri"/>
                <w:b/>
                <w:bCs/>
                <w:color w:val="000000"/>
                <w:lang w:eastAsia="ru-RU"/>
              </w:rPr>
              <w:t>дейін</w:t>
            </w:r>
            <w:proofErr w:type="spellEnd"/>
          </w:p>
        </w:tc>
      </w:tr>
    </w:tbl>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7A6FA5">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w:t>
            </w:r>
            <w:proofErr w:type="spellEnd"/>
            <w:r w:rsidRPr="00B63F3A">
              <w:rPr>
                <w:rFonts w:ascii="Times New Roman" w:eastAsia="Times New Roman" w:hAnsi="Times New Roman" w:cs="Times New Roman"/>
                <w:b/>
                <w:sz w:val="24"/>
                <w:szCs w:val="24"/>
                <w:lang w:eastAsia="ru-RU"/>
              </w:rPr>
              <w:t xml:space="preserve"> </w:t>
            </w:r>
            <w:proofErr w:type="spellStart"/>
            <w:r w:rsidRPr="00B63F3A">
              <w:rPr>
                <w:rFonts w:ascii="Times New Roman" w:eastAsia="Times New Roman" w:hAnsi="Times New Roman" w:cs="Times New Roman"/>
                <w:b/>
                <w:sz w:val="24"/>
                <w:szCs w:val="24"/>
                <w:lang w:eastAsia="ru-RU"/>
              </w:rPr>
              <w:t>беруші</w:t>
            </w:r>
            <w:proofErr w:type="spellEnd"/>
          </w:p>
          <w:p w14:paraId="0592D9A7"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7A6FA5">
            <w:pPr>
              <w:spacing w:after="0" w:line="240" w:lineRule="auto"/>
              <w:jc w:val="both"/>
              <w:rPr>
                <w:rFonts w:ascii="Times New Roman" w:eastAsia="Times New Roman" w:hAnsi="Times New Roman" w:cs="Times New Roman"/>
                <w:b/>
                <w:sz w:val="24"/>
                <w:szCs w:val="24"/>
                <w:lang w:eastAsia="ru-RU"/>
              </w:rPr>
            </w:pPr>
          </w:p>
          <w:p w14:paraId="02453035" w14:textId="0C4EB24A"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21A8A63" w14:textId="0F3BD913"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60370F8" w14:textId="4D117D03"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2F5A84B" w14:textId="154614AC"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C93D2A4" w14:textId="0E04B459"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65877AD8" w14:textId="1980995F"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75889060" w14:textId="13179BED"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BC5A00D" w14:textId="3799DB1B"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2477601F" w14:textId="12AF396A"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673A5B2A" w14:textId="44C85B49"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5562D11E" w14:textId="4AFD3E52"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704CA222" w14:textId="46F4E418"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BDF3C5E" w14:textId="7E1BBF35"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9834506" w14:textId="77777777"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2DA6886A"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6232F79"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F45C8B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9D35C8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7A6FA5">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7A6FA5">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Calibri" w:hAnsi="Times New Roman" w:cs="Times New Roman"/>
                <w:b/>
                <w:iCs/>
                <w:sz w:val="24"/>
                <w:szCs w:val="24"/>
              </w:rPr>
              <w:t>Орындаушы</w:t>
            </w:r>
            <w:proofErr w:type="spellEnd"/>
          </w:p>
          <w:p w14:paraId="27F57348"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7A6FA5">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міндеттемелері»шартының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lastRenderedPageBreak/>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ҚазМұнайГаз</w:t>
      </w:r>
      <w:proofErr w:type="spellEnd"/>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w:t>
            </w:r>
            <w:proofErr w:type="spellStart"/>
            <w:r w:rsidRPr="00BD0ABC">
              <w:t>Азаматтық</w:t>
            </w:r>
            <w:proofErr w:type="spellEnd"/>
            <w:r w:rsidRPr="00BD0ABC">
              <w:t xml:space="preserve"> </w:t>
            </w:r>
            <w:proofErr w:type="spellStart"/>
            <w:r w:rsidRPr="00BD0ABC">
              <w:t>қорғау</w:t>
            </w:r>
            <w:proofErr w:type="spellEnd"/>
            <w:r w:rsidRPr="00BD0ABC">
              <w:t xml:space="preserve"> </w:t>
            </w:r>
            <w:proofErr w:type="spellStart"/>
            <w:r w:rsidRPr="00BD0ABC">
              <w:t>туралы</w:t>
            </w:r>
            <w:proofErr w:type="spellEnd"/>
            <w:r w:rsidRPr="00BD0ABC">
              <w:t xml:space="preserve">» </w:t>
            </w:r>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2014 </w:t>
            </w:r>
            <w:proofErr w:type="spellStart"/>
            <w:r w:rsidRPr="00BD0ABC">
              <w:t>жылғы</w:t>
            </w:r>
            <w:proofErr w:type="spellEnd"/>
            <w:r w:rsidRPr="00BD0ABC">
              <w:t xml:space="preserve"> 11 </w:t>
            </w:r>
            <w:proofErr w:type="spellStart"/>
            <w:r w:rsidRPr="00BD0ABC">
              <w:t>сәуірдегі</w:t>
            </w:r>
            <w:proofErr w:type="spellEnd"/>
            <w:r w:rsidRPr="00BD0ABC">
              <w:t xml:space="preserve"> № 188-V 3PK </w:t>
            </w:r>
            <w:proofErr w:type="spellStart"/>
            <w:r w:rsidRPr="00BD0ABC">
              <w:t>Заңы</w:t>
            </w:r>
            <w:proofErr w:type="spellEnd"/>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w:t>
            </w:r>
            <w:proofErr w:type="spellStart"/>
            <w:r w:rsidRPr="00BD0ABC">
              <w:t>ҚазМұнайГаз</w:t>
            </w:r>
            <w:proofErr w:type="spellEnd"/>
            <w:r w:rsidRPr="00BD0ABC">
              <w:t xml:space="preserve">» ҰК АҚ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еңбекті</w:t>
            </w:r>
            <w:proofErr w:type="spellEnd"/>
            <w:r w:rsidRPr="00BD0ABC">
              <w:t xml:space="preserve"> </w:t>
            </w:r>
            <w:proofErr w:type="spellStart"/>
            <w:r w:rsidRPr="00BD0ABC">
              <w:t>қорғау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w:t>
            </w:r>
            <w:proofErr w:type="spellStart"/>
            <w:r w:rsidRPr="00BD0ABC">
              <w:t>мердігер</w:t>
            </w:r>
            <w:proofErr w:type="spellEnd"/>
            <w:r w:rsidRPr="00BD0ABC">
              <w:t xml:space="preserve"> </w:t>
            </w:r>
            <w:proofErr w:type="spellStart"/>
            <w:r w:rsidRPr="00BD0ABC">
              <w:t>ұйымдармен</w:t>
            </w:r>
            <w:proofErr w:type="spellEnd"/>
            <w:r w:rsidRPr="00BD0ABC">
              <w:t xml:space="preserve"> </w:t>
            </w:r>
            <w:proofErr w:type="spellStart"/>
            <w:r w:rsidRPr="00BD0ABC">
              <w:t>өзара</w:t>
            </w:r>
            <w:proofErr w:type="spellEnd"/>
            <w:r w:rsidRPr="00BD0ABC">
              <w:t xml:space="preserve"> </w:t>
            </w:r>
            <w:proofErr w:type="spellStart"/>
            <w:r w:rsidRPr="00BD0ABC">
              <w:t>іс-қимыл</w:t>
            </w:r>
            <w:proofErr w:type="spellEnd"/>
            <w:r w:rsidRPr="00BD0ABC">
              <w:t xml:space="preserve"> </w:t>
            </w:r>
            <w:proofErr w:type="spellStart"/>
            <w:r w:rsidRPr="00BD0ABC">
              <w:t>жөніндегі</w:t>
            </w:r>
            <w:proofErr w:type="spellEnd"/>
            <w:r w:rsidRPr="00BD0ABC">
              <w:t xml:space="preserve"> </w:t>
            </w:r>
            <w:proofErr w:type="spellStart"/>
            <w:r w:rsidRPr="00BD0ABC">
              <w:t>корпоративтік</w:t>
            </w:r>
            <w:proofErr w:type="spellEnd"/>
            <w:r w:rsidRPr="00BD0ABC">
              <w:t xml:space="preserve">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w:t>
            </w:r>
            <w:proofErr w:type="spellStart"/>
            <w:r w:rsidRPr="00BD0ABC">
              <w:t>Самұрық-Қазына</w:t>
            </w:r>
            <w:proofErr w:type="spellEnd"/>
            <w:r w:rsidRPr="00BD0ABC">
              <w:t xml:space="preserve">» </w:t>
            </w:r>
            <w:proofErr w:type="spellStart"/>
            <w:r w:rsidRPr="00BD0ABC">
              <w:t>ұлттық</w:t>
            </w:r>
            <w:proofErr w:type="spellEnd"/>
            <w:r w:rsidRPr="00BD0ABC">
              <w:t xml:space="preserve"> </w:t>
            </w:r>
            <w:proofErr w:type="spellStart"/>
            <w:r w:rsidRPr="00BD0ABC">
              <w:t>әл-ауқат</w:t>
            </w:r>
            <w:proofErr w:type="spellEnd"/>
            <w:r w:rsidRPr="00BD0ABC">
              <w:t xml:space="preserve"> </w:t>
            </w:r>
            <w:proofErr w:type="spellStart"/>
            <w:r w:rsidRPr="00BD0ABC">
              <w:t>қоры</w:t>
            </w:r>
            <w:proofErr w:type="spellEnd"/>
            <w:r w:rsidRPr="00BD0ABC">
              <w:t xml:space="preserve"> « </w:t>
            </w:r>
            <w:proofErr w:type="spellStart"/>
            <w:r w:rsidRPr="00BD0ABC">
              <w:t>акционерлік</w:t>
            </w:r>
            <w:proofErr w:type="spellEnd"/>
            <w:r w:rsidRPr="00BD0ABC">
              <w:t xml:space="preserve"> </w:t>
            </w:r>
            <w:proofErr w:type="spellStart"/>
            <w:r w:rsidRPr="00BD0ABC">
              <w:t>қоғамы</w:t>
            </w:r>
            <w:proofErr w:type="spellEnd"/>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Қазақойл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Ақтөбе</w:t>
            </w:r>
            <w:proofErr w:type="spellEnd"/>
            <w:r w:rsidRPr="00BD0ABC">
              <w:rPr>
                <w:rFonts w:ascii="Times New Roman" w:hAnsi="Times New Roman" w:cs="Times New Roman"/>
              </w:rPr>
              <w:t>»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ұлттық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әл-ауқат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акционерлік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қоғамының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дауыс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қатысу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үлестерінің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одан</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көп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пайызы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жанама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түрде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АҚ-на 2022 </w:t>
            </w:r>
            <w:proofErr w:type="spellStart"/>
            <w:r w:rsidRPr="00BD0ABC">
              <w:rPr>
                <w:rFonts w:ascii="Times New Roman" w:hAnsi="Times New Roman" w:cs="Times New Roman"/>
              </w:rPr>
              <w:t>жылғы</w:t>
            </w:r>
            <w:proofErr w:type="spellEnd"/>
            <w:r w:rsidRPr="00BD0ABC">
              <w:rPr>
                <w:rFonts w:ascii="Times New Roman" w:hAnsi="Times New Roman" w:cs="Times New Roman"/>
              </w:rPr>
              <w:t xml:space="preserve"> «3» </w:t>
            </w:r>
            <w:proofErr w:type="spellStart"/>
            <w:r w:rsidRPr="00BD0ABC">
              <w:rPr>
                <w:rFonts w:ascii="Times New Roman" w:hAnsi="Times New Roman" w:cs="Times New Roman"/>
              </w:rPr>
              <w:t>наурыздағы</w:t>
            </w:r>
            <w:proofErr w:type="spellEnd"/>
            <w:r w:rsidRPr="00BD0ABC">
              <w:rPr>
                <w:rFonts w:ascii="Times New Roman" w:hAnsi="Times New Roman" w:cs="Times New Roman"/>
              </w:rPr>
              <w:t xml:space="preserve"> № 193 </w:t>
            </w:r>
            <w:proofErr w:type="spellStart"/>
            <w:r w:rsidRPr="00BD0ABC">
              <w:rPr>
                <w:rFonts w:ascii="Times New Roman" w:hAnsi="Times New Roman" w:cs="Times New Roman"/>
              </w:rPr>
              <w:t>меншік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сенімгерлік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құқығымен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тиесілі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алуларын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тәртібі</w:t>
            </w:r>
            <w:proofErr w:type="spellEnd"/>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3B1675"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міндеттерін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Pr="00BD0ABC">
              <w:rPr>
                <w:rFonts w:ascii="Times New Roman" w:hAnsi="Times New Roman" w:cs="Times New Roman"/>
              </w:rPr>
              <w:t>», «Стратегия», «</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lastRenderedPageBreak/>
        <w:t xml:space="preserve">4.6. </w:t>
      </w:r>
      <w:bookmarkEnd w:id="13"/>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«СӘЙКЕС» НЕМЕСЕ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w:t>
      </w:r>
      <w:proofErr w:type="spellStart"/>
      <w:r w:rsidRPr="00BD0ABC">
        <w:rPr>
          <w:rFonts w:ascii="Times New Roman" w:eastAsia="Times New Roman" w:hAnsi="Times New Roman" w:cs="Times New Roman"/>
          <w:b/>
          <w:color w:val="000000" w:themeColor="text1"/>
          <w:sz w:val="24"/>
          <w:szCs w:val="24"/>
          <w:lang w:eastAsia="ru-RU"/>
        </w:rPr>
        <w:t>Мердігер</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ұйымның</w:t>
      </w:r>
      <w:proofErr w:type="spellEnd"/>
      <w:r w:rsidRPr="00BD0ABC">
        <w:rPr>
          <w:rFonts w:ascii="Times New Roman" w:eastAsia="Times New Roman" w:hAnsi="Times New Roman" w:cs="Times New Roman"/>
          <w:b/>
          <w:color w:val="000000" w:themeColor="text1"/>
          <w:sz w:val="24"/>
          <w:szCs w:val="24"/>
          <w:lang w:eastAsia="ru-RU"/>
        </w:rPr>
        <w:t xml:space="preserve"> ЕҚ, ӨҚ </w:t>
      </w:r>
      <w:proofErr w:type="spellStart"/>
      <w:r w:rsidRPr="00BD0ABC">
        <w:rPr>
          <w:rFonts w:ascii="Times New Roman" w:eastAsia="Times New Roman" w:hAnsi="Times New Roman" w:cs="Times New Roman"/>
          <w:b/>
          <w:color w:val="000000" w:themeColor="text1"/>
          <w:sz w:val="24"/>
          <w:szCs w:val="24"/>
          <w:lang w:eastAsia="ru-RU"/>
        </w:rPr>
        <w:t>және</w:t>
      </w:r>
      <w:proofErr w:type="spellEnd"/>
      <w:r w:rsidRPr="00BD0ABC">
        <w:rPr>
          <w:rFonts w:ascii="Times New Roman" w:eastAsia="Times New Roman" w:hAnsi="Times New Roman" w:cs="Times New Roman"/>
          <w:b/>
          <w:color w:val="000000" w:themeColor="text1"/>
          <w:sz w:val="24"/>
          <w:szCs w:val="24"/>
          <w:lang w:eastAsia="ru-RU"/>
        </w:rPr>
        <w:t xml:space="preserve"> ҚОҚ </w:t>
      </w:r>
      <w:proofErr w:type="spellStart"/>
      <w:r w:rsidRPr="00BD0ABC">
        <w:rPr>
          <w:rFonts w:ascii="Times New Roman" w:eastAsia="Times New Roman" w:hAnsi="Times New Roman" w:cs="Times New Roman"/>
          <w:b/>
          <w:color w:val="000000" w:themeColor="text1"/>
          <w:sz w:val="24"/>
          <w:szCs w:val="24"/>
          <w:lang w:eastAsia="ru-RU"/>
        </w:rPr>
        <w:t>саласындағы</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міндеттемелері</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Шартының</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Pr="00BD0AB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lastRenderedPageBreak/>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міндеттерін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w:t>
      </w:r>
      <w:r w:rsidRPr="00BD0ABC">
        <w:rPr>
          <w:rFonts w:ascii="Times New Roman" w:eastAsia="Times New Roman" w:hAnsi="Times New Roman" w:cs="Times New Roman"/>
          <w:bCs/>
          <w:noProof/>
          <w:color w:val="000000"/>
          <w:sz w:val="24"/>
          <w:szCs w:val="24"/>
          <w:lang w:eastAsia="zh-CN"/>
        </w:rPr>
        <w:lastRenderedPageBreak/>
        <w:t>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BD0AB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BD0ABC">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w:t>
      </w:r>
      <w:r w:rsidRPr="00BD0ABC">
        <w:rPr>
          <w:rFonts w:ascii="Times New Roman" w:eastAsia="Times New Roman" w:hAnsi="Times New Roman" w:cs="Times New Roman"/>
          <w:bCs/>
          <w:noProof/>
          <w:color w:val="000000"/>
          <w:sz w:val="24"/>
          <w:szCs w:val="24"/>
          <w:lang w:eastAsia="zh-CN"/>
        </w:rPr>
        <w:lastRenderedPageBreak/>
        <w:t>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еңбекті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қорғау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өнеркәсіптік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қауіпсіздік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ӨҚ)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lastRenderedPageBreak/>
        <w:t>«</w:t>
      </w:r>
      <w:proofErr w:type="spellStart"/>
      <w:r w:rsidRPr="00BD0ABC">
        <w:rPr>
          <w:rFonts w:ascii="Times New Roman" w:eastAsia="Calibri" w:hAnsi="Times New Roman" w:cs="Times New Roman"/>
          <w:b/>
          <w:sz w:val="24"/>
          <w:szCs w:val="24"/>
        </w:rPr>
        <w:t>Қазақойл</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Ақтөбе</w:t>
      </w:r>
      <w:proofErr w:type="spellEnd"/>
      <w:r w:rsidRPr="00BD0ABC">
        <w:rPr>
          <w:rFonts w:ascii="Times New Roman" w:eastAsia="Calibri" w:hAnsi="Times New Roman" w:cs="Times New Roman"/>
          <w:b/>
          <w:sz w:val="24"/>
          <w:szCs w:val="24"/>
        </w:rPr>
        <w:t xml:space="preserve">» ЖШС </w:t>
      </w:r>
      <w:proofErr w:type="spellStart"/>
      <w:r w:rsidRPr="00BD0ABC">
        <w:rPr>
          <w:rFonts w:ascii="Times New Roman" w:eastAsia="Calibri" w:hAnsi="Times New Roman" w:cs="Times New Roman"/>
          <w:b/>
          <w:sz w:val="24"/>
          <w:szCs w:val="24"/>
        </w:rPr>
        <w:t>экологиялық</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орнықты</w:t>
      </w:r>
      <w:proofErr w:type="spellEnd"/>
      <w:r w:rsidRPr="00BD0ABC">
        <w:rPr>
          <w:rFonts w:ascii="Times New Roman" w:eastAsia="Times New Roman" w:hAnsi="Times New Roman" w:cs="Times New Roman"/>
          <w:sz w:val="24"/>
          <w:szCs w:val="24"/>
          <w:lang w:eastAsia="ru-RU"/>
        </w:rPr>
        <w:t xml:space="preserve"> даму </w:t>
      </w:r>
      <w:proofErr w:type="spellStart"/>
      <w:r w:rsidRPr="00BD0ABC">
        <w:rPr>
          <w:rFonts w:ascii="Times New Roman" w:eastAsia="Times New Roman" w:hAnsi="Times New Roman" w:cs="Times New Roman"/>
          <w:sz w:val="24"/>
          <w:szCs w:val="24"/>
          <w:lang w:eastAsia="ru-RU"/>
        </w:rPr>
        <w:t>қағидаттарына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бейілділігін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білдіреді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әсердің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жатқызады</w:t>
      </w:r>
      <w:proofErr w:type="spellEnd"/>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кеңсе»қағидаттарын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lastRenderedPageBreak/>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 xml:space="preserve">ЖШС алкоголь, </w:t>
      </w:r>
      <w:proofErr w:type="spellStart"/>
      <w:r w:rsidRPr="00BD0ABC">
        <w:rPr>
          <w:rFonts w:ascii="Times New Roman" w:eastAsia="Times New Roman" w:hAnsi="Times New Roman" w:cs="Times New Roman"/>
          <w:b/>
          <w:sz w:val="24"/>
          <w:szCs w:val="24"/>
          <w:lang w:eastAsia="ru-RU"/>
        </w:rPr>
        <w:t>есірткі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психотроптық</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заттар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олардың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аналогтарына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қатысты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алкоголь, </w:t>
      </w:r>
      <w:proofErr w:type="spellStart"/>
      <w:r w:rsidRPr="00BD0ABC">
        <w:rPr>
          <w:rFonts w:ascii="Times New Roman" w:eastAsia="Times New Roman" w:hAnsi="Times New Roman" w:cs="Times New Roman"/>
          <w:sz w:val="24"/>
          <w:szCs w:val="24"/>
          <w:lang w:eastAsia="ru-RU"/>
        </w:rPr>
        <w:t>есірткі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аналогтарын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болдырмайтын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ұмтылады</w:t>
      </w:r>
      <w:proofErr w:type="spellEnd"/>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lastRenderedPageBreak/>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жерүсті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көлік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құралдарын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пайдалану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жерүсті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зардаптары</w:t>
      </w:r>
      <w:proofErr w:type="spellEnd"/>
      <w:r w:rsidRPr="00BD0ABC">
        <w:rPr>
          <w:rFonts w:ascii="Times New Roman" w:eastAsia="Times New Roman" w:hAnsi="Times New Roman" w:cs="Times New Roman"/>
          <w:sz w:val="24"/>
          <w:szCs w:val="24"/>
          <w:lang w:eastAsia="ru-RU"/>
        </w:rPr>
        <w:t xml:space="preserve"> мен компания </w:t>
      </w:r>
      <w:proofErr w:type="spellStart"/>
      <w:r w:rsidRPr="00BD0ABC">
        <w:rPr>
          <w:rFonts w:ascii="Times New Roman" w:eastAsia="Times New Roman" w:hAnsi="Times New Roman" w:cs="Times New Roman"/>
          <w:sz w:val="24"/>
          <w:szCs w:val="24"/>
          <w:lang w:eastAsia="ru-RU"/>
        </w:rPr>
        <w:t>мүлкіне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ауырлығын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төмендету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белгілейді</w:t>
      </w:r>
      <w:proofErr w:type="spellEnd"/>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lastRenderedPageBreak/>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lastRenderedPageBreak/>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өкілі»терминімен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«___»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xml:space="preserve">:  СМ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қолданылмайды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3B1675"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r w:rsidRPr="00BD0ABC">
              <w:rPr>
                <w:rFonts w:ascii="Times New Roman" w:hAnsi="Times New Roman" w:cs="Times New Roman"/>
                <w:sz w:val="24"/>
                <w:szCs w:val="24"/>
              </w:rPr>
              <w:t>млн.км-ге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3D062E">
        <w:trPr>
          <w:trHeight w:val="1146"/>
        </w:trPr>
        <w:tc>
          <w:tcPr>
            <w:tcW w:w="4144" w:type="dxa"/>
            <w:tcBorders>
              <w:top w:val="nil"/>
              <w:left w:val="nil"/>
              <w:bottom w:val="nil"/>
              <w:right w:val="nil"/>
            </w:tcBorders>
          </w:tcPr>
          <w:p w14:paraId="5A7C1EB3"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C29750B" w14:textId="0BFBB8E5" w:rsidR="00BD0ABC" w:rsidRDefault="00BD0ABC" w:rsidP="003D062E">
            <w:pPr>
              <w:spacing w:after="0" w:line="240" w:lineRule="auto"/>
              <w:jc w:val="both"/>
              <w:rPr>
                <w:rFonts w:ascii="Times New Roman" w:eastAsia="Times New Roman" w:hAnsi="Times New Roman" w:cs="Times New Roman"/>
                <w:b/>
                <w:sz w:val="24"/>
                <w:szCs w:val="20"/>
                <w:lang w:eastAsia="ru-RU"/>
              </w:rPr>
            </w:pPr>
          </w:p>
        </w:tc>
        <w:tc>
          <w:tcPr>
            <w:tcW w:w="4479" w:type="dxa"/>
            <w:tcBorders>
              <w:top w:val="nil"/>
              <w:left w:val="nil"/>
              <w:bottom w:val="nil"/>
              <w:right w:val="nil"/>
            </w:tcBorders>
          </w:tcPr>
          <w:p w14:paraId="6D7BF3A5" w14:textId="77777777" w:rsidR="00BD0ABC" w:rsidRDefault="00BD0ABC" w:rsidP="003D062E">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473EFA2D"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lastRenderedPageBreak/>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3B1675"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3B1675"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3B1675"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lastRenderedPageBreak/>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w:t>
            </w:r>
            <w:r>
              <w:rPr>
                <w:rFonts w:ascii="Times New Roman" w:hAnsi="Times New Roman" w:cs="Times New Roman"/>
                <w:sz w:val="24"/>
                <w:szCs w:val="24"/>
              </w:rPr>
              <w:lastRenderedPageBreak/>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8" w:name="_Hlk145952021"/>
            <w:r>
              <w:rPr>
                <w:rFonts w:ascii="Times New Roman" w:eastAsia="Times New Roman" w:hAnsi="Times New Roman" w:cs="Times New Roman"/>
                <w:b/>
                <w:sz w:val="24"/>
                <w:szCs w:val="20"/>
                <w:lang w:val="kk-KZ" w:eastAsia="ru-RU"/>
              </w:rPr>
              <w:lastRenderedPageBreak/>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0379F02" w14:textId="52F0E821" w:rsidR="006D3BAD" w:rsidRDefault="006D3BAD">
            <w:pPr>
              <w:spacing w:after="0" w:line="240" w:lineRule="auto"/>
              <w:jc w:val="both"/>
              <w:rPr>
                <w:rFonts w:ascii="Times New Roman" w:eastAsia="Times New Roman" w:hAnsi="Times New Roman" w:cs="Times New Roman"/>
                <w:b/>
                <w:sz w:val="24"/>
                <w:szCs w:val="20"/>
                <w:lang w:eastAsia="ru-RU"/>
              </w:rPr>
            </w:pP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3B1675"/>
    <w:rsid w:val="00400811"/>
    <w:rsid w:val="0040347A"/>
    <w:rsid w:val="00476659"/>
    <w:rsid w:val="004C5B07"/>
    <w:rsid w:val="005343E4"/>
    <w:rsid w:val="00653369"/>
    <w:rsid w:val="006D3BAD"/>
    <w:rsid w:val="006E4CFD"/>
    <w:rsid w:val="007E5841"/>
    <w:rsid w:val="007F7A4C"/>
    <w:rsid w:val="00842DA3"/>
    <w:rsid w:val="00886348"/>
    <w:rsid w:val="009813D7"/>
    <w:rsid w:val="00AC6F33"/>
    <w:rsid w:val="00AD2287"/>
    <w:rsid w:val="00B31E48"/>
    <w:rsid w:val="00B63F3A"/>
    <w:rsid w:val="00BA5805"/>
    <w:rsid w:val="00BD0ABC"/>
    <w:rsid w:val="00D44B03"/>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77813137">
      <w:bodyDiv w:val="1"/>
      <w:marLeft w:val="0"/>
      <w:marRight w:val="0"/>
      <w:marTop w:val="0"/>
      <w:marBottom w:val="0"/>
      <w:divBdr>
        <w:top w:val="none" w:sz="0" w:space="0" w:color="auto"/>
        <w:left w:val="none" w:sz="0" w:space="0" w:color="auto"/>
        <w:bottom w:val="none" w:sz="0" w:space="0" w:color="auto"/>
        <w:right w:val="none" w:sz="0" w:space="0" w:color="auto"/>
      </w:divBdr>
    </w:div>
    <w:div w:id="1035623112">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 w:id="1961567158">
      <w:bodyDiv w:val="1"/>
      <w:marLeft w:val="0"/>
      <w:marRight w:val="0"/>
      <w:marTop w:val="0"/>
      <w:marBottom w:val="0"/>
      <w:divBdr>
        <w:top w:val="none" w:sz="0" w:space="0" w:color="auto"/>
        <w:left w:val="none" w:sz="0" w:space="0" w:color="auto"/>
        <w:bottom w:val="none" w:sz="0" w:space="0" w:color="auto"/>
        <w:right w:val="none" w:sz="0" w:space="0" w:color="auto"/>
      </w:divBdr>
    </w:div>
    <w:div w:id="21020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18936</Words>
  <Characters>107937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Kairbekov Azamat</cp:lastModifiedBy>
  <cp:revision>7</cp:revision>
  <dcterms:created xsi:type="dcterms:W3CDTF">2024-04-12T06:45:00Z</dcterms:created>
  <dcterms:modified xsi:type="dcterms:W3CDTF">2024-12-27T07:12:00Z</dcterms:modified>
</cp:coreProperties>
</file>