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4A4E" w14:textId="77777777" w:rsidR="006D4036" w:rsidRPr="006D4036" w:rsidRDefault="006D4036" w:rsidP="006D4036">
      <w:pPr>
        <w:jc w:val="right"/>
        <w:outlineLvl w:val="0"/>
        <w:rPr>
          <w:color w:val="000000" w:themeColor="text1"/>
          <w:szCs w:val="24"/>
        </w:rPr>
      </w:pPr>
      <w:r w:rsidRPr="006D4036">
        <w:rPr>
          <w:color w:val="000000" w:themeColor="text1"/>
          <w:szCs w:val="24"/>
        </w:rPr>
        <w:t>202_ж. «___» __________</w:t>
      </w:r>
    </w:p>
    <w:p w14:paraId="15A847B1" w14:textId="2558A0B9" w:rsidR="006D4036" w:rsidRPr="006D4036" w:rsidRDefault="006D4036" w:rsidP="006D4036">
      <w:pPr>
        <w:jc w:val="right"/>
        <w:outlineLvl w:val="0"/>
        <w:rPr>
          <w:color w:val="000000" w:themeColor="text1"/>
          <w:szCs w:val="24"/>
        </w:rPr>
      </w:pPr>
      <w:r w:rsidRPr="006D4036">
        <w:rPr>
          <w:color w:val="000000" w:themeColor="text1"/>
          <w:szCs w:val="24"/>
        </w:rPr>
        <w:t>№_____</w:t>
      </w:r>
      <w:proofErr w:type="spellStart"/>
      <w:r w:rsidRPr="006D4036">
        <w:rPr>
          <w:color w:val="000000" w:themeColor="text1"/>
          <w:szCs w:val="24"/>
        </w:rPr>
        <w:t>Тауарларды</w:t>
      </w:r>
      <w:proofErr w:type="spellEnd"/>
      <w:r w:rsidRPr="006D4036">
        <w:rPr>
          <w:color w:val="000000" w:themeColor="text1"/>
          <w:szCs w:val="24"/>
        </w:rPr>
        <w:t xml:space="preserve"> </w:t>
      </w:r>
      <w:proofErr w:type="spellStart"/>
      <w:r w:rsidRPr="006D4036">
        <w:rPr>
          <w:color w:val="000000" w:themeColor="text1"/>
          <w:szCs w:val="24"/>
        </w:rPr>
        <w:t>сатып</w:t>
      </w:r>
      <w:proofErr w:type="spellEnd"/>
      <w:r w:rsidRPr="006D4036">
        <w:rPr>
          <w:color w:val="000000" w:themeColor="text1"/>
          <w:szCs w:val="24"/>
        </w:rPr>
        <w:t xml:space="preserve"> </w:t>
      </w:r>
      <w:proofErr w:type="spellStart"/>
      <w:r w:rsidRPr="006D4036">
        <w:rPr>
          <w:color w:val="000000" w:themeColor="text1"/>
          <w:szCs w:val="24"/>
        </w:rPr>
        <w:t>алу</w:t>
      </w:r>
      <w:proofErr w:type="spellEnd"/>
      <w:r w:rsidRPr="006D4036">
        <w:rPr>
          <w:color w:val="000000" w:themeColor="text1"/>
          <w:szCs w:val="24"/>
        </w:rPr>
        <w:t xml:space="preserve"> </w:t>
      </w:r>
      <w:proofErr w:type="spellStart"/>
      <w:r w:rsidRPr="006D4036">
        <w:rPr>
          <w:color w:val="000000" w:themeColor="text1"/>
          <w:szCs w:val="24"/>
        </w:rPr>
        <w:t>туралы</w:t>
      </w:r>
      <w:proofErr w:type="spellEnd"/>
      <w:r w:rsidRPr="006D4036">
        <w:rPr>
          <w:color w:val="000000" w:themeColor="text1"/>
          <w:szCs w:val="24"/>
        </w:rPr>
        <w:t xml:space="preserve"> </w:t>
      </w:r>
      <w:proofErr w:type="spellStart"/>
      <w:r w:rsidRPr="006D4036">
        <w:rPr>
          <w:color w:val="000000" w:themeColor="text1"/>
          <w:szCs w:val="24"/>
        </w:rPr>
        <w:t>ұзақ</w:t>
      </w:r>
      <w:proofErr w:type="spellEnd"/>
      <w:r w:rsidRPr="006D4036">
        <w:rPr>
          <w:color w:val="000000" w:themeColor="text1"/>
          <w:szCs w:val="24"/>
        </w:rPr>
        <w:t xml:space="preserve"> </w:t>
      </w:r>
      <w:proofErr w:type="spellStart"/>
      <w:r w:rsidRPr="006D4036">
        <w:rPr>
          <w:color w:val="000000" w:themeColor="text1"/>
          <w:szCs w:val="24"/>
        </w:rPr>
        <w:t>мерзімді</w:t>
      </w:r>
      <w:proofErr w:type="spellEnd"/>
      <w:r>
        <w:rPr>
          <w:color w:val="000000" w:themeColor="text1"/>
          <w:szCs w:val="24"/>
          <w:lang w:val="kk-KZ"/>
        </w:rPr>
        <w:t xml:space="preserve"> </w:t>
      </w:r>
      <w:proofErr w:type="spellStart"/>
      <w:r w:rsidRPr="006D4036">
        <w:rPr>
          <w:color w:val="000000" w:themeColor="text1"/>
          <w:szCs w:val="24"/>
        </w:rPr>
        <w:t>Шартқа</w:t>
      </w:r>
      <w:proofErr w:type="spellEnd"/>
      <w:r w:rsidRPr="006D4036">
        <w:rPr>
          <w:color w:val="000000" w:themeColor="text1"/>
          <w:szCs w:val="24"/>
        </w:rPr>
        <w:t xml:space="preserve"> </w:t>
      </w:r>
    </w:p>
    <w:p w14:paraId="214AA550" w14:textId="342D6636" w:rsidR="00F02922" w:rsidRDefault="006D4036" w:rsidP="006D4036">
      <w:pPr>
        <w:jc w:val="right"/>
        <w:outlineLvl w:val="0"/>
        <w:rPr>
          <w:color w:val="000000" w:themeColor="text1"/>
          <w:szCs w:val="24"/>
        </w:rPr>
      </w:pPr>
      <w:r w:rsidRPr="006D4036">
        <w:rPr>
          <w:color w:val="000000" w:themeColor="text1"/>
          <w:szCs w:val="24"/>
        </w:rPr>
        <w:t>№</w:t>
      </w:r>
      <w:r w:rsidR="003A7220">
        <w:rPr>
          <w:color w:val="000000" w:themeColor="text1"/>
          <w:szCs w:val="24"/>
          <w:lang w:val="kk-KZ"/>
        </w:rPr>
        <w:t>4</w:t>
      </w:r>
      <w:r w:rsidRPr="006D4036">
        <w:rPr>
          <w:color w:val="000000" w:themeColor="text1"/>
          <w:szCs w:val="24"/>
        </w:rPr>
        <w:t xml:space="preserve"> </w:t>
      </w:r>
      <w:proofErr w:type="spellStart"/>
      <w:r w:rsidRPr="006D4036">
        <w:rPr>
          <w:color w:val="000000" w:themeColor="text1"/>
          <w:szCs w:val="24"/>
        </w:rPr>
        <w:t>Қосымша</w:t>
      </w:r>
      <w:proofErr w:type="spellEnd"/>
    </w:p>
    <w:p w14:paraId="4F3232D7" w14:textId="77777777" w:rsidR="00D4472D" w:rsidRPr="005A14D2" w:rsidRDefault="00D4472D" w:rsidP="006D4036">
      <w:pPr>
        <w:jc w:val="right"/>
        <w:outlineLvl w:val="0"/>
        <w:rPr>
          <w:rFonts w:eastAsia="Calibri"/>
          <w:b/>
          <w:color w:val="000000" w:themeColor="text1"/>
          <w:szCs w:val="24"/>
          <w:lang w:eastAsia="en-US"/>
        </w:rPr>
      </w:pPr>
    </w:p>
    <w:p w14:paraId="5C85A709" w14:textId="6E59F069" w:rsidR="00F02922" w:rsidRPr="00D4472D" w:rsidRDefault="006D4036" w:rsidP="00D4472D">
      <w:pPr>
        <w:jc w:val="center"/>
        <w:rPr>
          <w:rFonts w:eastAsia="Calibri"/>
          <w:b/>
          <w:color w:val="000000" w:themeColor="text1"/>
          <w:szCs w:val="24"/>
          <w:lang w:val="kk-KZ" w:eastAsia="en-US"/>
        </w:rPr>
      </w:pPr>
      <w:r w:rsidRPr="006D4036">
        <w:rPr>
          <w:rFonts w:eastAsia="Calibri"/>
          <w:b/>
          <w:color w:val="000000" w:themeColor="text1"/>
          <w:szCs w:val="24"/>
          <w:lang w:eastAsia="en-US"/>
        </w:rPr>
        <w:t>ӨНІМ БЕРУШІ ҚЫЗМЕТІНІҢ ТҮЙІНДІ КӨРСЕТКІШТЕРІН (ТИІМДІЛІГІН) ЕСЕПТЕУ ӘДІСТЕМЕСІ</w:t>
      </w:r>
      <w:r w:rsidR="00D4472D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r w:rsidR="00D4472D" w:rsidRPr="00D4472D">
        <w:rPr>
          <w:rFonts w:eastAsia="Calibri"/>
          <w:b/>
          <w:color w:val="000000" w:themeColor="text1"/>
          <w:szCs w:val="24"/>
          <w:lang w:val="kk-KZ" w:eastAsia="en-US"/>
        </w:rPr>
        <w:t xml:space="preserve">(БҰДАН ӘРІ </w:t>
      </w:r>
      <w:r w:rsidR="00D4472D">
        <w:rPr>
          <w:rFonts w:eastAsia="Calibri"/>
          <w:b/>
          <w:color w:val="000000" w:themeColor="text1"/>
          <w:szCs w:val="24"/>
          <w:lang w:val="kk-KZ" w:eastAsia="en-US"/>
        </w:rPr>
        <w:t>–</w:t>
      </w:r>
      <w:r w:rsidR="00D4472D" w:rsidRPr="00D4472D">
        <w:rPr>
          <w:rFonts w:eastAsia="Calibri"/>
          <w:b/>
          <w:color w:val="000000" w:themeColor="text1"/>
          <w:szCs w:val="24"/>
          <w:lang w:val="kk-KZ" w:eastAsia="en-US"/>
        </w:rPr>
        <w:t xml:space="preserve"> ҚТК)</w:t>
      </w:r>
    </w:p>
    <w:p w14:paraId="1C075195" w14:textId="77777777" w:rsidR="006D4036" w:rsidRPr="005A14D2" w:rsidRDefault="006D4036" w:rsidP="006A3E51">
      <w:pPr>
        <w:rPr>
          <w:rFonts w:eastAsia="Calibri"/>
          <w:color w:val="000000" w:themeColor="text1"/>
          <w:szCs w:val="24"/>
          <w:lang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2659"/>
        <w:gridCol w:w="1026"/>
        <w:gridCol w:w="1456"/>
        <w:gridCol w:w="1488"/>
      </w:tblGrid>
      <w:tr w:rsidR="00EE5671" w:rsidRPr="005A14D2" w14:paraId="09605EF1" w14:textId="77777777" w:rsidTr="009E199A">
        <w:trPr>
          <w:trHeight w:val="541"/>
          <w:jc w:val="center"/>
        </w:trPr>
        <w:tc>
          <w:tcPr>
            <w:tcW w:w="568" w:type="dxa"/>
            <w:vAlign w:val="center"/>
            <w:hideMark/>
          </w:tcPr>
          <w:p w14:paraId="0E65F364" w14:textId="77777777" w:rsidR="00EE5671" w:rsidRPr="005A14D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№</w:t>
            </w:r>
          </w:p>
        </w:tc>
        <w:tc>
          <w:tcPr>
            <w:tcW w:w="2586" w:type="dxa"/>
            <w:vAlign w:val="center"/>
            <w:hideMark/>
          </w:tcPr>
          <w:p w14:paraId="7837051D" w14:textId="7862A284" w:rsidR="00EE5671" w:rsidRPr="00D4472D" w:rsidRDefault="00D4472D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Көрсеткіш</w:t>
            </w:r>
          </w:p>
        </w:tc>
        <w:tc>
          <w:tcPr>
            <w:tcW w:w="2659" w:type="dxa"/>
            <w:vAlign w:val="center"/>
            <w:hideMark/>
          </w:tcPr>
          <w:p w14:paraId="71CC15CE" w14:textId="4C6888D2" w:rsidR="00EE5671" w:rsidRPr="005A14D2" w:rsidRDefault="00D4472D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Бағалау</w:t>
            </w:r>
            <w:proofErr w:type="spellEnd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әдіснамасы</w:t>
            </w:r>
            <w:proofErr w:type="spellEnd"/>
          </w:p>
        </w:tc>
        <w:tc>
          <w:tcPr>
            <w:tcW w:w="1026" w:type="dxa"/>
            <w:vAlign w:val="center"/>
            <w:hideMark/>
          </w:tcPr>
          <w:p w14:paraId="3D6D6BCF" w14:textId="52241363" w:rsidR="00EE5671" w:rsidRPr="00D4472D" w:rsidRDefault="00D4472D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Балл</w:t>
            </w:r>
          </w:p>
        </w:tc>
        <w:tc>
          <w:tcPr>
            <w:tcW w:w="1456" w:type="dxa"/>
            <w:vAlign w:val="center"/>
            <w:hideMark/>
          </w:tcPr>
          <w:p w14:paraId="29CDB44D" w14:textId="15EA83FA" w:rsidR="00EE5671" w:rsidRPr="005A14D2" w:rsidRDefault="00D4472D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Көрсеткіштің</w:t>
            </w:r>
            <w:proofErr w:type="spellEnd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үлес</w:t>
            </w:r>
            <w:proofErr w:type="spellEnd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салмағы</w:t>
            </w:r>
            <w:proofErr w:type="spellEnd"/>
          </w:p>
        </w:tc>
        <w:tc>
          <w:tcPr>
            <w:tcW w:w="1488" w:type="dxa"/>
            <w:hideMark/>
          </w:tcPr>
          <w:p w14:paraId="538AA81E" w14:textId="5D8F041A" w:rsidR="00EE5671" w:rsidRPr="005A14D2" w:rsidRDefault="00D4472D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Көрсеткіш</w:t>
            </w:r>
            <w:proofErr w:type="spellEnd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үшін</w:t>
            </w:r>
            <w:proofErr w:type="spellEnd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балдарды</w:t>
            </w:r>
            <w:proofErr w:type="spellEnd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D4472D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есептеу</w:t>
            </w:r>
            <w:proofErr w:type="spellEnd"/>
          </w:p>
        </w:tc>
      </w:tr>
      <w:tr w:rsidR="00EE5671" w:rsidRPr="005A14D2" w14:paraId="76BA39C1" w14:textId="77777777" w:rsidTr="009E199A">
        <w:trPr>
          <w:trHeight w:val="246"/>
          <w:jc w:val="center"/>
        </w:trPr>
        <w:tc>
          <w:tcPr>
            <w:tcW w:w="568" w:type="dxa"/>
            <w:vAlign w:val="center"/>
          </w:tcPr>
          <w:p w14:paraId="5127076F" w14:textId="77777777" w:rsidR="00EE5671" w:rsidRPr="005A14D2" w:rsidRDefault="00EE5671" w:rsidP="006A3E51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Align w:val="center"/>
            <w:hideMark/>
          </w:tcPr>
          <w:p w14:paraId="61551CE4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vAlign w:val="center"/>
            <w:hideMark/>
          </w:tcPr>
          <w:p w14:paraId="1942426E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1026" w:type="dxa"/>
            <w:vAlign w:val="center"/>
            <w:hideMark/>
          </w:tcPr>
          <w:p w14:paraId="1DFB2325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1456" w:type="dxa"/>
            <w:vAlign w:val="center"/>
            <w:hideMark/>
          </w:tcPr>
          <w:p w14:paraId="46800A39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hideMark/>
          </w:tcPr>
          <w:p w14:paraId="391506FF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EE5671" w:rsidRPr="005A14D2" w14:paraId="2709A82B" w14:textId="77777777" w:rsidTr="00DD297F">
        <w:trPr>
          <w:trHeight w:val="485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61468823" w14:textId="77777777" w:rsidR="00EE5671" w:rsidRPr="005A14D2" w:rsidRDefault="00EE5671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69E19DA0" w14:textId="0806D50E" w:rsidR="00EE5671" w:rsidRPr="00D4472D" w:rsidRDefault="000E714E" w:rsidP="00DD297F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(On-Time Delivery) (К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otd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  <w:r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</w:t>
            </w:r>
            <w:proofErr w:type="spellStart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>Мерзімінде</w:t>
            </w:r>
            <w:proofErr w:type="spellEnd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>жеткізу</w:t>
            </w:r>
            <w:proofErr w:type="spellEnd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>бойынша</w:t>
            </w:r>
            <w:proofErr w:type="spellEnd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>міндеттемелерді</w:t>
            </w:r>
            <w:proofErr w:type="spellEnd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>орындау</w:t>
            </w:r>
            <w:proofErr w:type="spellEnd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коэффициенті</w:t>
            </w:r>
            <w:proofErr w:type="spellEnd"/>
            <w:r w:rsidR="00D4472D" w:rsidRPr="00D4472D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  <w:vAlign w:val="center"/>
            <w:hideMark/>
          </w:tcPr>
          <w:p w14:paraId="0F68E715" w14:textId="0683EC05" w:rsidR="00EE5671" w:rsidRPr="005A14D2" w:rsidRDefault="00EE5671" w:rsidP="006A3E51">
            <w:pPr>
              <w:pStyle w:val="a6"/>
              <w:spacing w:before="0" w:beforeAutospacing="0" w:after="0" w:afterAutospacing="0"/>
              <w:jc w:val="center"/>
            </w:pPr>
            <w:r w:rsidRPr="00D4472D">
              <w:rPr>
                <w:bCs/>
                <w:color w:val="000000" w:themeColor="text1"/>
                <w:kern w:val="24"/>
              </w:rPr>
              <w:t xml:space="preserve"> </w:t>
            </w:r>
            <w:r w:rsidR="00DD297F"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="00DD297F"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="00DD297F"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="00DD297F" w:rsidRPr="005A14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8C237E" w:rsidRPr="005A14D2">
              <w:rPr>
                <w:rFonts w:eastAsia="Calibri"/>
                <w:color w:val="000000" w:themeColor="text1"/>
                <w:lang w:eastAsia="en-US"/>
              </w:rPr>
              <w:t xml:space="preserve">= </w:t>
            </w:r>
            <w:r w:rsidR="00DD297F" w:rsidRPr="005A14D2">
              <w:rPr>
                <w:rFonts w:eastAsia="Calibri"/>
                <w:color w:val="000000" w:themeColor="text1"/>
                <w:lang w:eastAsia="en-US"/>
              </w:rPr>
              <w:t>100</w:t>
            </w:r>
          </w:p>
        </w:tc>
        <w:tc>
          <w:tcPr>
            <w:tcW w:w="1026" w:type="dxa"/>
            <w:vAlign w:val="center"/>
            <w:hideMark/>
          </w:tcPr>
          <w:p w14:paraId="4675CFF1" w14:textId="53BABD89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30B73D0C" w14:textId="5259457B" w:rsidR="00EE5671" w:rsidRPr="005A14D2" w:rsidRDefault="00DD297F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00ADCFCD" w14:textId="77777777" w:rsidR="00EE5671" w:rsidRPr="005A14D2" w:rsidRDefault="00EE5671" w:rsidP="006A3E51">
            <w:pPr>
              <w:jc w:val="both"/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5A14D2" w14:paraId="60CFFC55" w14:textId="77777777" w:rsidTr="00DD297F">
        <w:trPr>
          <w:trHeight w:val="549"/>
          <w:jc w:val="center"/>
        </w:trPr>
        <w:tc>
          <w:tcPr>
            <w:tcW w:w="568" w:type="dxa"/>
            <w:vMerge/>
            <w:vAlign w:val="center"/>
            <w:hideMark/>
          </w:tcPr>
          <w:p w14:paraId="3885320B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68DDACB8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1B37F366" w14:textId="33BE052A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Pr="000E714E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 </w:t>
            </w:r>
            <w:proofErr w:type="spellStart"/>
            <w:r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="00EE5671" w:rsidRPr="005A14D2">
              <w:rPr>
                <w:bCs/>
                <w:color w:val="000000" w:themeColor="text1"/>
                <w:kern w:val="24"/>
              </w:rPr>
              <w:t xml:space="preserve"> </w:t>
            </w:r>
            <w:r w:rsidR="000E714E" w:rsidRPr="000E714E">
              <w:rPr>
                <w:bCs/>
                <w:color w:val="000000" w:themeColor="text1"/>
                <w:kern w:val="24"/>
              </w:rPr>
              <w:t xml:space="preserve">40-тан 100-ге </w:t>
            </w:r>
            <w:proofErr w:type="spellStart"/>
            <w:r w:rsidR="000E714E" w:rsidRPr="000E714E">
              <w:rPr>
                <w:bCs/>
                <w:color w:val="000000" w:themeColor="text1"/>
                <w:kern w:val="24"/>
              </w:rPr>
              <w:t>дейін</w:t>
            </w:r>
            <w:proofErr w:type="spellEnd"/>
          </w:p>
        </w:tc>
        <w:tc>
          <w:tcPr>
            <w:tcW w:w="1026" w:type="dxa"/>
            <w:vAlign w:val="center"/>
            <w:hideMark/>
          </w:tcPr>
          <w:p w14:paraId="4C8160C1" w14:textId="452C9F44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1A6997A5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FEB4C03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5A14D2" w14:paraId="79BBAE03" w14:textId="77777777" w:rsidTr="00DD297F">
        <w:trPr>
          <w:trHeight w:val="409"/>
          <w:jc w:val="center"/>
        </w:trPr>
        <w:tc>
          <w:tcPr>
            <w:tcW w:w="568" w:type="dxa"/>
            <w:vMerge/>
            <w:vAlign w:val="center"/>
            <w:hideMark/>
          </w:tcPr>
          <w:p w14:paraId="261042A4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58D9476C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2295DCC4" w14:textId="2A0E2C34" w:rsidR="00EE5671" w:rsidRPr="000E714E" w:rsidRDefault="00DD297F" w:rsidP="006A3E51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40-тан төмен</w:t>
            </w:r>
          </w:p>
        </w:tc>
        <w:tc>
          <w:tcPr>
            <w:tcW w:w="1026" w:type="dxa"/>
            <w:vAlign w:val="center"/>
            <w:hideMark/>
          </w:tcPr>
          <w:p w14:paraId="6A431F92" w14:textId="117A0FFA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2C1F121C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F068F7E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8C237E" w:rsidRPr="005A14D2" w14:paraId="1FDAE9DE" w14:textId="77777777" w:rsidTr="008C237E">
        <w:trPr>
          <w:trHeight w:val="523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0E47500D" w14:textId="77777777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60D6CA81" w14:textId="7702EFDB" w:rsidR="008C237E" w:rsidRPr="005A14D2" w:rsidRDefault="000E714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(Production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quality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) (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Kpq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)*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Өнім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сапасының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жеткізілетін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өнімге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жарнамалаудың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коэффициенті</w:t>
            </w:r>
            <w:proofErr w:type="spellEnd"/>
            <w:r w:rsidR="008C237E"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  <w:vAlign w:val="center"/>
            <w:hideMark/>
          </w:tcPr>
          <w:p w14:paraId="2B239127" w14:textId="15C478E6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5A14D2">
              <w:rPr>
                <w:rFonts w:eastAsia="Calibri"/>
                <w:color w:val="000000" w:themeColor="text1"/>
                <w:lang w:val="en-US" w:eastAsia="en-US"/>
              </w:rPr>
              <w:t>Kpq</w:t>
            </w:r>
            <w:proofErr w:type="spellEnd"/>
            <w:r w:rsidRPr="005A14D2">
              <w:rPr>
                <w:bCs/>
                <w:color w:val="000000" w:themeColor="text1"/>
                <w:kern w:val="24"/>
              </w:rPr>
              <w:t xml:space="preserve"> =100</w:t>
            </w:r>
          </w:p>
        </w:tc>
        <w:tc>
          <w:tcPr>
            <w:tcW w:w="1026" w:type="dxa"/>
            <w:vAlign w:val="center"/>
            <w:hideMark/>
          </w:tcPr>
          <w:p w14:paraId="0E845A4A" w14:textId="34B94BB9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0688898D" w14:textId="77144D79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25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3F119055" w14:textId="77777777" w:rsidR="008C237E" w:rsidRPr="005A14D2" w:rsidRDefault="008C237E" w:rsidP="008C237E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5A14D2" w14:paraId="28AA4146" w14:textId="77777777" w:rsidTr="008C237E">
        <w:trPr>
          <w:trHeight w:val="545"/>
          <w:jc w:val="center"/>
        </w:trPr>
        <w:tc>
          <w:tcPr>
            <w:tcW w:w="568" w:type="dxa"/>
            <w:vMerge/>
            <w:vAlign w:val="center"/>
            <w:hideMark/>
          </w:tcPr>
          <w:p w14:paraId="2C4AAD16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47DEEAC0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DE0A5B6" w14:textId="31126735" w:rsidR="008C237E" w:rsidRPr="000E714E" w:rsidRDefault="008C237E" w:rsidP="008C237E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5A14D2">
              <w:rPr>
                <w:rFonts w:eastAsia="Calibri"/>
                <w:color w:val="000000" w:themeColor="text1"/>
                <w:lang w:val="en-US" w:eastAsia="en-US"/>
              </w:rPr>
              <w:t>Kpq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80-нен 99-ға дейін</w:t>
            </w:r>
          </w:p>
        </w:tc>
        <w:tc>
          <w:tcPr>
            <w:tcW w:w="1026" w:type="dxa"/>
            <w:vAlign w:val="center"/>
            <w:hideMark/>
          </w:tcPr>
          <w:p w14:paraId="3E42086A" w14:textId="25A40618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0649A76C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2A896B3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5A14D2" w14:paraId="19E02810" w14:textId="77777777" w:rsidTr="008C237E">
        <w:trPr>
          <w:trHeight w:val="297"/>
          <w:jc w:val="center"/>
        </w:trPr>
        <w:tc>
          <w:tcPr>
            <w:tcW w:w="568" w:type="dxa"/>
            <w:vMerge/>
            <w:vAlign w:val="center"/>
            <w:hideMark/>
          </w:tcPr>
          <w:p w14:paraId="2696D1A7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02F5C87E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A192E91" w14:textId="67554073" w:rsidR="008C237E" w:rsidRPr="000E714E" w:rsidRDefault="008C237E" w:rsidP="008C237E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5A14D2">
              <w:rPr>
                <w:rFonts w:eastAsia="Calibri"/>
                <w:color w:val="000000" w:themeColor="text1"/>
                <w:lang w:val="en-US" w:eastAsia="en-US"/>
              </w:rPr>
              <w:t>Kpq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80-нен төмен</w:t>
            </w:r>
          </w:p>
        </w:tc>
        <w:tc>
          <w:tcPr>
            <w:tcW w:w="1026" w:type="dxa"/>
            <w:vAlign w:val="center"/>
            <w:hideMark/>
          </w:tcPr>
          <w:p w14:paraId="231C2B46" w14:textId="7DA968DF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0AB4E88F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94A7E67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EE5671" w:rsidRPr="005A14D2" w14:paraId="0AEA5313" w14:textId="77777777" w:rsidTr="009E199A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2BAD5769" w14:textId="77777777" w:rsidR="00EE5671" w:rsidRPr="005A14D2" w:rsidRDefault="00EE5671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vMerge w:val="restart"/>
            <w:vAlign w:val="center"/>
          </w:tcPr>
          <w:p w14:paraId="5DDF1E0C" w14:textId="6D496671" w:rsidR="00EE5671" w:rsidRPr="005A14D2" w:rsidRDefault="000E714E" w:rsidP="00F20915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(К</w:t>
            </w:r>
            <w:r w:rsidR="0000659B">
              <w:rPr>
                <w:rFonts w:eastAsia="Calibri"/>
                <w:color w:val="000000" w:themeColor="text1"/>
                <w:szCs w:val="24"/>
                <w:lang w:val="kk-KZ" w:eastAsia="en-US"/>
              </w:rPr>
              <w:t>ақау</w:t>
            </w:r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)*</w:t>
            </w:r>
            <w:r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Кіру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бақылауындағы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жарамсыз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өнім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санының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коэффициенті </w:t>
            </w:r>
          </w:p>
        </w:tc>
        <w:tc>
          <w:tcPr>
            <w:tcW w:w="2659" w:type="dxa"/>
            <w:vAlign w:val="center"/>
          </w:tcPr>
          <w:p w14:paraId="5390A3BA" w14:textId="00A87B55" w:rsidR="00EE5671" w:rsidRPr="005A14D2" w:rsidRDefault="008C237E" w:rsidP="006A3E51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="0043690C">
              <w:rPr>
                <w:rFonts w:eastAsia="Calibri"/>
                <w:color w:val="000000" w:themeColor="text1"/>
                <w:vertAlign w:val="subscript"/>
                <w:lang w:val="kk-KZ" w:eastAsia="en-US"/>
              </w:rPr>
              <w:t>ақау</w:t>
            </w:r>
            <w:r w:rsidRPr="005A14D2">
              <w:rPr>
                <w:bCs/>
                <w:color w:val="000000" w:themeColor="text1"/>
                <w:kern w:val="24"/>
              </w:rPr>
              <w:t xml:space="preserve"> ≤ 5%</w:t>
            </w:r>
            <w:r w:rsidR="00EE5671" w:rsidRPr="005A14D2">
              <w:rPr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6EE5E997" w14:textId="5AF7FE3B" w:rsidR="00EE5671" w:rsidRPr="005A14D2" w:rsidRDefault="008C237E" w:rsidP="006A3E51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053F2997" w14:textId="29C5A11A" w:rsidR="00EE5671" w:rsidRPr="005A14D2" w:rsidRDefault="00950B08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632B3057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5A14D2" w14:paraId="20B7AF3F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69EEF449" w14:textId="77777777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0F1E88BD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1706393" w14:textId="25E91404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bCs/>
                <w:color w:val="000000" w:themeColor="text1"/>
                <w:kern w:val="24"/>
              </w:rPr>
              <w:t xml:space="preserve">5% ≤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="0043690C">
              <w:rPr>
                <w:rFonts w:eastAsia="Calibri"/>
                <w:color w:val="000000" w:themeColor="text1"/>
                <w:vertAlign w:val="subscript"/>
                <w:lang w:val="kk-KZ" w:eastAsia="en-US"/>
              </w:rPr>
              <w:t>ақау</w:t>
            </w:r>
            <w:r w:rsidRPr="005A14D2">
              <w:rPr>
                <w:bCs/>
                <w:color w:val="000000" w:themeColor="text1"/>
                <w:kern w:val="24"/>
              </w:rPr>
              <w:t xml:space="preserve"> </w:t>
            </w:r>
            <w:proofErr w:type="gramStart"/>
            <w:r w:rsidRPr="005A14D2">
              <w:rPr>
                <w:bCs/>
                <w:color w:val="000000" w:themeColor="text1"/>
                <w:kern w:val="24"/>
              </w:rPr>
              <w:t>&lt; 7</w:t>
            </w:r>
            <w:proofErr w:type="gramEnd"/>
            <w:r w:rsidRPr="005A14D2">
              <w:rPr>
                <w:bCs/>
                <w:color w:val="000000" w:themeColor="text1"/>
                <w:kern w:val="24"/>
              </w:rPr>
              <w:t>,5%</w:t>
            </w:r>
          </w:p>
        </w:tc>
        <w:tc>
          <w:tcPr>
            <w:tcW w:w="1026" w:type="dxa"/>
            <w:vAlign w:val="center"/>
          </w:tcPr>
          <w:p w14:paraId="6FA8B89E" w14:textId="2F2D46EA" w:rsidR="008C237E" w:rsidRPr="005A14D2" w:rsidRDefault="008C237E" w:rsidP="008C237E">
            <w:pPr>
              <w:jc w:val="center"/>
              <w:rPr>
                <w:color w:val="000000"/>
                <w:kern w:val="24"/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75%</w:t>
            </w:r>
          </w:p>
        </w:tc>
        <w:tc>
          <w:tcPr>
            <w:tcW w:w="1456" w:type="dxa"/>
            <w:vMerge/>
            <w:vAlign w:val="center"/>
          </w:tcPr>
          <w:p w14:paraId="36BF8AC6" w14:textId="77777777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6D3B8DB1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129AD325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A81AEBB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3C1929EE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C6A5BD0" w14:textId="35FCCB8F" w:rsidR="00950B08" w:rsidRPr="005A14D2" w:rsidRDefault="00950B08" w:rsidP="00950B08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bCs/>
                <w:color w:val="000000" w:themeColor="text1"/>
                <w:kern w:val="24"/>
              </w:rPr>
              <w:t xml:space="preserve">7,5% ≤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="0043690C">
              <w:rPr>
                <w:rFonts w:eastAsia="Calibri"/>
                <w:color w:val="000000" w:themeColor="text1"/>
                <w:vertAlign w:val="subscript"/>
                <w:lang w:val="kk-KZ" w:eastAsia="en-US"/>
              </w:rPr>
              <w:t>ақау</w:t>
            </w:r>
            <w:r w:rsidRPr="005A14D2">
              <w:rPr>
                <w:bCs/>
                <w:color w:val="000000" w:themeColor="text1"/>
                <w:kern w:val="24"/>
              </w:rPr>
              <w:t xml:space="preserve"> </w:t>
            </w:r>
            <w:proofErr w:type="gramStart"/>
            <w:r w:rsidRPr="005A14D2">
              <w:rPr>
                <w:bCs/>
                <w:color w:val="000000" w:themeColor="text1"/>
                <w:kern w:val="24"/>
              </w:rPr>
              <w:t>&lt; 10</w:t>
            </w:r>
            <w:proofErr w:type="gramEnd"/>
            <w:r w:rsidRPr="005A14D2">
              <w:rPr>
                <w:bCs/>
                <w:color w:val="000000" w:themeColor="text1"/>
                <w:kern w:val="24"/>
              </w:rPr>
              <w:t>%</w:t>
            </w:r>
          </w:p>
        </w:tc>
        <w:tc>
          <w:tcPr>
            <w:tcW w:w="1026" w:type="dxa"/>
            <w:vAlign w:val="center"/>
          </w:tcPr>
          <w:p w14:paraId="075117ED" w14:textId="6185560B" w:rsidR="00950B08" w:rsidRPr="005A14D2" w:rsidRDefault="00950B08" w:rsidP="00950B08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4D0F9F03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6B540D9B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561B752A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0AFEFE8B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377BED5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53E0F540" w14:textId="0059CD0E" w:rsidR="00950B08" w:rsidRPr="005A14D2" w:rsidRDefault="00950B08" w:rsidP="00950B08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bCs/>
                <w:color w:val="000000" w:themeColor="text1"/>
                <w:kern w:val="24"/>
              </w:rPr>
              <w:t xml:space="preserve">10% ≤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="0043690C">
              <w:rPr>
                <w:rFonts w:eastAsia="Calibri"/>
                <w:color w:val="000000" w:themeColor="text1"/>
                <w:vertAlign w:val="subscript"/>
                <w:lang w:val="kk-KZ" w:eastAsia="en-US"/>
              </w:rPr>
              <w:t>ақау</w:t>
            </w:r>
            <w:r w:rsidRPr="005A14D2">
              <w:rPr>
                <w:bCs/>
                <w:color w:val="000000" w:themeColor="text1"/>
                <w:kern w:val="24"/>
              </w:rPr>
              <w:t xml:space="preserve"> </w:t>
            </w:r>
            <w:proofErr w:type="gramStart"/>
            <w:r w:rsidRPr="005A14D2">
              <w:rPr>
                <w:bCs/>
                <w:color w:val="000000" w:themeColor="text1"/>
                <w:kern w:val="24"/>
              </w:rPr>
              <w:t>&lt; 12</w:t>
            </w:r>
            <w:proofErr w:type="gramEnd"/>
            <w:r w:rsidRPr="005A14D2">
              <w:rPr>
                <w:bCs/>
                <w:color w:val="000000" w:themeColor="text1"/>
                <w:kern w:val="24"/>
              </w:rPr>
              <w:t>,5%</w:t>
            </w:r>
          </w:p>
        </w:tc>
        <w:tc>
          <w:tcPr>
            <w:tcW w:w="1026" w:type="dxa"/>
            <w:vAlign w:val="center"/>
          </w:tcPr>
          <w:p w14:paraId="782D8C76" w14:textId="550F9D61" w:rsidR="00950B08" w:rsidRPr="005A14D2" w:rsidRDefault="00950B08" w:rsidP="00950B08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25%</w:t>
            </w:r>
          </w:p>
        </w:tc>
        <w:tc>
          <w:tcPr>
            <w:tcW w:w="1456" w:type="dxa"/>
            <w:vMerge/>
            <w:vAlign w:val="center"/>
          </w:tcPr>
          <w:p w14:paraId="06728082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71B8B598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17469848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66AAA4A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513D782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153F9588" w14:textId="59075CF4" w:rsidR="00950B08" w:rsidRPr="005A14D2" w:rsidRDefault="00950B08" w:rsidP="00950B08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proofErr w:type="gramStart"/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="0043690C">
              <w:rPr>
                <w:rFonts w:eastAsia="Calibri"/>
                <w:color w:val="000000" w:themeColor="text1"/>
                <w:vertAlign w:val="subscript"/>
                <w:lang w:val="kk-KZ" w:eastAsia="en-US"/>
              </w:rPr>
              <w:t>ақау</w:t>
            </w:r>
            <w:r w:rsidRPr="005A14D2">
              <w:rPr>
                <w:bCs/>
                <w:color w:val="000000" w:themeColor="text1"/>
                <w:kern w:val="24"/>
              </w:rPr>
              <w:t xml:space="preserve">  ≥</w:t>
            </w:r>
            <w:proofErr w:type="gramEnd"/>
            <w:r w:rsidRPr="005A14D2">
              <w:rPr>
                <w:bCs/>
                <w:color w:val="000000" w:themeColor="text1"/>
                <w:kern w:val="24"/>
              </w:rPr>
              <w:t xml:space="preserve"> 15%</w:t>
            </w:r>
          </w:p>
        </w:tc>
        <w:tc>
          <w:tcPr>
            <w:tcW w:w="1026" w:type="dxa"/>
            <w:vAlign w:val="center"/>
          </w:tcPr>
          <w:p w14:paraId="43584D42" w14:textId="441C6049" w:rsidR="00950B08" w:rsidRPr="005A14D2" w:rsidRDefault="00950B08" w:rsidP="00950B08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2D98C86D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594DC334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29C0BCE2" w14:textId="77777777" w:rsidTr="00622C5A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56525E37" w14:textId="07F0B155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30F53B0C" w14:textId="09283608" w:rsidR="005A14D2" w:rsidRPr="005A14D2" w:rsidRDefault="000E714E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ESG (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Principles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ESG) (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К</w:t>
            </w:r>
            <w:proofErr w:type="gram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esg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)*</w:t>
            </w:r>
            <w:proofErr w:type="gramEnd"/>
            <w:r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</w:t>
            </w:r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Критерийлерге сәйкестік коэффициенті</w:t>
            </w:r>
            <w:r w:rsidR="005A14D2"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4AE717BF" w14:textId="61F44FCB" w:rsidR="005A14D2" w:rsidRPr="000E714E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proofErr w:type="spellStart"/>
            <w:r w:rsidRPr="000E714E">
              <w:rPr>
                <w:rFonts w:eastAsia="Calibri"/>
                <w:i/>
                <w:iCs/>
                <w:color w:val="000000" w:themeColor="text1"/>
                <w:lang w:eastAsia="en-US"/>
              </w:rPr>
              <w:t>Кesg</w:t>
            </w:r>
            <w:proofErr w:type="spellEnd"/>
            <w:r w:rsidR="003415EC" w:rsidRPr="000E714E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 </w:t>
            </w:r>
            <w:r w:rsidR="000E714E">
              <w:rPr>
                <w:rFonts w:eastAsia="Calibri"/>
                <w:i/>
                <w:iCs/>
                <w:color w:val="000000" w:themeColor="text1"/>
                <w:lang w:val="kk-KZ" w:eastAsia="en-US"/>
              </w:rPr>
              <w:t>45-тен 60-қа дейін</w:t>
            </w:r>
          </w:p>
        </w:tc>
        <w:tc>
          <w:tcPr>
            <w:tcW w:w="1026" w:type="dxa"/>
            <w:vAlign w:val="center"/>
          </w:tcPr>
          <w:p w14:paraId="1E86D2CE" w14:textId="1E0DD09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3551E933" w14:textId="096740FA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226C247E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37E89161" w14:textId="77777777" w:rsidTr="00622C5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43DB22F6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48D91A92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BDD3FC2" w14:textId="60D9E485" w:rsidR="005A14D2" w:rsidRPr="000E714E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proofErr w:type="spellStart"/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Кesg</w:t>
            </w:r>
            <w:proofErr w:type="spellEnd"/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 </w:t>
            </w:r>
            <w:r w:rsidR="000E714E">
              <w:rPr>
                <w:rFonts w:eastAsia="Calibri"/>
                <w:i/>
                <w:iCs/>
                <w:color w:val="000000" w:themeColor="text1"/>
                <w:lang w:val="kk-KZ" w:eastAsia="en-US"/>
              </w:rPr>
              <w:t>30-дан 40-қа дейін</w:t>
            </w:r>
          </w:p>
        </w:tc>
        <w:tc>
          <w:tcPr>
            <w:tcW w:w="1026" w:type="dxa"/>
            <w:vAlign w:val="center"/>
          </w:tcPr>
          <w:p w14:paraId="01E3E4D3" w14:textId="331F87E9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1ECE22FC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6520D718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271912BD" w14:textId="77777777" w:rsidTr="00622C5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0D1DD9D8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4D3AFBED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6ADF7F5F" w14:textId="4DF73776" w:rsidR="005A14D2" w:rsidRPr="000E714E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proofErr w:type="spellStart"/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Кesg</w:t>
            </w:r>
            <w:proofErr w:type="spellEnd"/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 </w:t>
            </w:r>
            <w:r w:rsidR="000E714E">
              <w:rPr>
                <w:rFonts w:eastAsia="Calibri"/>
                <w:i/>
                <w:iCs/>
                <w:color w:val="000000" w:themeColor="text1"/>
                <w:lang w:val="kk-KZ" w:eastAsia="en-US"/>
              </w:rPr>
              <w:t>15-тен 25-ке дейін</w:t>
            </w:r>
          </w:p>
        </w:tc>
        <w:tc>
          <w:tcPr>
            <w:tcW w:w="1026" w:type="dxa"/>
            <w:vAlign w:val="center"/>
          </w:tcPr>
          <w:p w14:paraId="1B265C45" w14:textId="352EA308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29AE872E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2784A776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3059C6FA" w14:textId="77777777" w:rsidTr="00622C5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6D03C982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455664B5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1E623D90" w14:textId="40C0D264" w:rsidR="005A14D2" w:rsidRPr="005A14D2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Кesg</w:t>
            </w:r>
            <w:proofErr w:type="spellEnd"/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≤ 1</w:t>
            </w: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026" w:type="dxa"/>
            <w:vAlign w:val="center"/>
          </w:tcPr>
          <w:p w14:paraId="39E06D91" w14:textId="50689A6C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71D82C9D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0D34742E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337A65F0" w14:textId="77777777" w:rsidTr="00003990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0A4CB556" w14:textId="77777777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02EC1B83" w14:textId="7DFAE59F" w:rsidR="004A5D81" w:rsidRPr="005A14D2" w:rsidRDefault="000E714E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(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Кдмс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  <w:r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Жергілікті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қамту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үлесін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орындау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коэффициенті</w:t>
            </w:r>
            <w:proofErr w:type="spellEnd"/>
            <w:r w:rsidRPr="000E714E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36E816F4" w14:textId="79762321" w:rsidR="004A5D81" w:rsidRPr="000E714E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5A14D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95-тен 100-ге дейін</w:t>
            </w:r>
          </w:p>
        </w:tc>
        <w:tc>
          <w:tcPr>
            <w:tcW w:w="1026" w:type="dxa"/>
            <w:vAlign w:val="center"/>
          </w:tcPr>
          <w:p w14:paraId="00C5687C" w14:textId="2CF18D0E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30461F5C" w14:textId="2EB3B32F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25</w:t>
            </w:r>
          </w:p>
        </w:tc>
        <w:tc>
          <w:tcPr>
            <w:tcW w:w="1488" w:type="dxa"/>
            <w:vMerge w:val="restart"/>
            <w:vAlign w:val="center"/>
          </w:tcPr>
          <w:p w14:paraId="0D2DDCC0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794168BE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9A58283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5D8CC75F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4A35E26" w14:textId="046127C4" w:rsidR="004A5D81" w:rsidRPr="000E714E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5A14D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90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-нан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94,99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-ға дейін</w:t>
            </w:r>
          </w:p>
        </w:tc>
        <w:tc>
          <w:tcPr>
            <w:tcW w:w="1026" w:type="dxa"/>
            <w:vAlign w:val="center"/>
          </w:tcPr>
          <w:p w14:paraId="4A5FA4AE" w14:textId="7500E62B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523D8EFC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1EA34958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13069017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D5C2E91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34736018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3F4B0A93" w14:textId="6E8BDD8F" w:rsidR="004A5D81" w:rsidRPr="000E714E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5A14D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41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 xml:space="preserve">-ден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89,99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-ға дейін</w:t>
            </w:r>
          </w:p>
        </w:tc>
        <w:tc>
          <w:tcPr>
            <w:tcW w:w="1026" w:type="dxa"/>
            <w:vAlign w:val="center"/>
          </w:tcPr>
          <w:p w14:paraId="3CE18ABC" w14:textId="75A791D8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33942644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558CBB9E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00D66CA0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DD28736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109A200D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03CC48E6" w14:textId="02300AC7" w:rsidR="004A5D81" w:rsidRPr="000E714E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5A14D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31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-ден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40,99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-ға дейін</w:t>
            </w:r>
          </w:p>
        </w:tc>
        <w:tc>
          <w:tcPr>
            <w:tcW w:w="1026" w:type="dxa"/>
            <w:vAlign w:val="center"/>
          </w:tcPr>
          <w:p w14:paraId="4F155F8B" w14:textId="7B843F31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01FF35FC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6C6B9E6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768D1391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D11E5DB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2ABD115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4C53DAF" w14:textId="1A24CDF2" w:rsidR="004A5D81" w:rsidRPr="000E714E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5A14D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0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-ден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30,99</w:t>
            </w:r>
            <w:r w:rsidR="000E714E">
              <w:rPr>
                <w:rFonts w:eastAsia="Calibri"/>
                <w:color w:val="000000" w:themeColor="text1"/>
                <w:lang w:val="kk-KZ" w:eastAsia="en-US"/>
              </w:rPr>
              <w:t>-ға дейін</w:t>
            </w:r>
          </w:p>
        </w:tc>
        <w:tc>
          <w:tcPr>
            <w:tcW w:w="1026" w:type="dxa"/>
            <w:vAlign w:val="center"/>
          </w:tcPr>
          <w:p w14:paraId="3DDC343F" w14:textId="144C8D86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43CD2E47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1752805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71406359" w14:textId="77777777" w:rsidTr="009E199A">
        <w:trPr>
          <w:trHeight w:val="330"/>
          <w:jc w:val="center"/>
        </w:trPr>
        <w:tc>
          <w:tcPr>
            <w:tcW w:w="568" w:type="dxa"/>
            <w:vAlign w:val="center"/>
            <w:hideMark/>
          </w:tcPr>
          <w:p w14:paraId="1D349405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vAlign w:val="center"/>
            <w:hideMark/>
          </w:tcPr>
          <w:p w14:paraId="051F3E7D" w14:textId="0137867D" w:rsidR="00950B08" w:rsidRPr="00806AFB" w:rsidRDefault="00806AFB" w:rsidP="00950B08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БАРЛЫҒЫ</w:t>
            </w:r>
          </w:p>
        </w:tc>
        <w:tc>
          <w:tcPr>
            <w:tcW w:w="1026" w:type="dxa"/>
          </w:tcPr>
          <w:p w14:paraId="1AACFD81" w14:textId="77777777" w:rsidR="00950B08" w:rsidRPr="005A14D2" w:rsidRDefault="00950B08" w:rsidP="00950B08">
            <w:pPr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56" w:type="dxa"/>
            <w:vAlign w:val="center"/>
          </w:tcPr>
          <w:p w14:paraId="79860B43" w14:textId="77777777" w:rsidR="00950B08" w:rsidRPr="005A14D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100</w:t>
            </w:r>
          </w:p>
        </w:tc>
        <w:tc>
          <w:tcPr>
            <w:tcW w:w="1488" w:type="dxa"/>
            <w:vAlign w:val="center"/>
            <w:hideMark/>
          </w:tcPr>
          <w:p w14:paraId="266AFB88" w14:textId="77777777" w:rsidR="00950B08" w:rsidRPr="005A14D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</w:tr>
    </w:tbl>
    <w:p w14:paraId="4E305075" w14:textId="77777777" w:rsidR="000923C4" w:rsidRPr="005A14D2" w:rsidRDefault="000923C4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3FB3A04" w14:textId="77777777" w:rsidR="00544B62" w:rsidRPr="005A14D2" w:rsidRDefault="00544B62">
      <w:pPr>
        <w:spacing w:after="160" w:line="259" w:lineRule="auto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br w:type="page"/>
      </w:r>
    </w:p>
    <w:p w14:paraId="6072F6D8" w14:textId="2587145A" w:rsidR="006A3E51" w:rsidRDefault="00806AFB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lastRenderedPageBreak/>
        <w:t>Көрсеткіштерді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есептеу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формулалары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>:</w:t>
      </w:r>
    </w:p>
    <w:p w14:paraId="4A249A3C" w14:textId="77777777" w:rsidR="00806AFB" w:rsidRPr="005A14D2" w:rsidRDefault="00806AFB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6AD31C5" w14:textId="5AFD417D" w:rsidR="004A5D81" w:rsidRPr="005A14D2" w:rsidRDefault="00F9302C" w:rsidP="004A5D8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F9302C">
        <w:rPr>
          <w:rFonts w:eastAsia="Calibri"/>
          <w:b/>
          <w:color w:val="000000" w:themeColor="text1"/>
          <w:szCs w:val="24"/>
          <w:lang w:val="kk-KZ" w:eastAsia="en-US"/>
        </w:rPr>
        <w:t>№1</w:t>
      </w:r>
      <w:r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r w:rsidR="00806AFB">
        <w:rPr>
          <w:rFonts w:eastAsia="Calibri"/>
          <w:b/>
          <w:color w:val="000000" w:themeColor="text1"/>
          <w:szCs w:val="24"/>
          <w:lang w:val="kk-KZ" w:eastAsia="en-US"/>
        </w:rPr>
        <w:t>ҚТК</w:t>
      </w:r>
      <w:r w:rsidR="001D522A" w:rsidRPr="005A14D2">
        <w:rPr>
          <w:rFonts w:eastAsia="Calibri"/>
          <w:b/>
          <w:color w:val="000000" w:themeColor="text1"/>
          <w:szCs w:val="24"/>
          <w:lang w:eastAsia="en-US"/>
        </w:rPr>
        <w:t xml:space="preserve">  </w:t>
      </w:r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(On-Time Delivery) (К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otd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)</w:t>
      </w:r>
      <w:r w:rsidR="00806AFB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Мерзімінде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жеткізу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бойынша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міндеттемелерді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орындау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коэффициенті</w:t>
      </w:r>
      <w:proofErr w:type="spellEnd"/>
      <w:r w:rsidR="004A5D81" w:rsidRPr="005A14D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</w:p>
    <w:p w14:paraId="35F673EB" w14:textId="6E64E65A" w:rsidR="00740B50" w:rsidRPr="005A14D2" w:rsidRDefault="00740B50" w:rsidP="006A3E5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14:paraId="4226C1CE" w14:textId="1C391283" w:rsidR="004A5D81" w:rsidRPr="005A14D2" w:rsidRDefault="004A5D81" w:rsidP="004A5D8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i/>
          <w:iCs/>
          <w:color w:val="000000" w:themeColor="text1"/>
          <w:szCs w:val="24"/>
          <w:lang w:eastAsia="en-US"/>
        </w:rPr>
        <w:t xml:space="preserve">К </w:t>
      </w:r>
      <w:proofErr w:type="spellStart"/>
      <w:r w:rsidRPr="005A14D2">
        <w:rPr>
          <w:rFonts w:eastAsia="Calibri"/>
          <w:i/>
          <w:iCs/>
          <w:color w:val="000000" w:themeColor="text1"/>
          <w:szCs w:val="24"/>
          <w:lang w:val="en-US" w:eastAsia="en-US"/>
        </w:rPr>
        <w:t>otd</w:t>
      </w:r>
      <w:proofErr w:type="spellEnd"/>
      <w:r w:rsidRPr="005A14D2">
        <w:rPr>
          <w:rFonts w:eastAsia="Calibri"/>
          <w:color w:val="000000" w:themeColor="text1"/>
          <w:szCs w:val="24"/>
          <w:lang w:eastAsia="en-US"/>
        </w:rPr>
        <w:t xml:space="preserve"> = (</w:t>
      </w:r>
      <w:proofErr w:type="spellStart"/>
      <w:r w:rsidR="00806AFB" w:rsidRPr="00806AFB">
        <w:rPr>
          <w:rFonts w:eastAsia="Calibri"/>
          <w:color w:val="000000" w:themeColor="text1"/>
          <w:szCs w:val="24"/>
          <w:lang w:eastAsia="en-US"/>
        </w:rPr>
        <w:t>Мерзімі</w:t>
      </w:r>
      <w:proofErr w:type="spellEnd"/>
      <w:r w:rsidR="00806AFB"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color w:val="000000" w:themeColor="text1"/>
          <w:szCs w:val="24"/>
          <w:lang w:eastAsia="en-US"/>
        </w:rPr>
        <w:t>бұзылмаған</w:t>
      </w:r>
      <w:proofErr w:type="spellEnd"/>
      <w:r w:rsidR="00806AFB"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color w:val="000000" w:themeColor="text1"/>
          <w:szCs w:val="24"/>
          <w:lang w:eastAsia="en-US"/>
        </w:rPr>
        <w:t>тапсырыстар</w:t>
      </w:r>
      <w:proofErr w:type="spellEnd"/>
      <w:r w:rsidR="00806AFB" w:rsidRPr="00806AFB">
        <w:rPr>
          <w:rFonts w:eastAsia="Calibri"/>
          <w:color w:val="000000" w:themeColor="text1"/>
          <w:szCs w:val="24"/>
          <w:lang w:eastAsia="en-US"/>
        </w:rPr>
        <w:t xml:space="preserve"> саны/</w:t>
      </w:r>
      <w:proofErr w:type="spellStart"/>
      <w:r w:rsidR="00806AFB" w:rsidRPr="00806AFB">
        <w:rPr>
          <w:rFonts w:eastAsia="Calibri"/>
          <w:color w:val="000000" w:themeColor="text1"/>
          <w:szCs w:val="24"/>
          <w:lang w:eastAsia="en-US"/>
        </w:rPr>
        <w:t>Тапсырыстардың</w:t>
      </w:r>
      <w:proofErr w:type="spellEnd"/>
      <w:r w:rsidR="00806AFB"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color w:val="000000" w:themeColor="text1"/>
          <w:szCs w:val="24"/>
          <w:lang w:eastAsia="en-US"/>
        </w:rPr>
        <w:t>жалпы</w:t>
      </w:r>
      <w:proofErr w:type="spellEnd"/>
      <w:r w:rsidR="00806AFB"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gramStart"/>
      <w:r w:rsidR="00806AFB" w:rsidRPr="00806AFB">
        <w:rPr>
          <w:rFonts w:eastAsia="Calibri"/>
          <w:color w:val="000000" w:themeColor="text1"/>
          <w:szCs w:val="24"/>
          <w:lang w:eastAsia="en-US"/>
        </w:rPr>
        <w:t>саны</w:t>
      </w:r>
      <w:r w:rsidRPr="005A14D2">
        <w:rPr>
          <w:rFonts w:eastAsia="Calibri"/>
          <w:color w:val="000000" w:themeColor="text1"/>
          <w:szCs w:val="24"/>
          <w:lang w:eastAsia="en-US"/>
        </w:rPr>
        <w:t>)*</w:t>
      </w:r>
      <w:proofErr w:type="gramEnd"/>
      <w:r w:rsidR="00806AFB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5A14D2">
        <w:rPr>
          <w:rFonts w:eastAsia="Calibri"/>
          <w:color w:val="000000" w:themeColor="text1"/>
          <w:szCs w:val="24"/>
          <w:lang w:eastAsia="en-US"/>
        </w:rPr>
        <w:t>100%</w:t>
      </w:r>
    </w:p>
    <w:p w14:paraId="6F33D29E" w14:textId="77777777" w:rsidR="000D5C6E" w:rsidRPr="005A14D2" w:rsidRDefault="000D5C6E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0F240C0F" w14:textId="6F297C50" w:rsidR="00806AFB" w:rsidRPr="00806AFB" w:rsidRDefault="00806AFB" w:rsidP="00806AF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мұнда</w:t>
      </w:r>
      <w:proofErr w:type="spellEnd"/>
      <w:r>
        <w:rPr>
          <w:rFonts w:eastAsia="Calibri"/>
          <w:color w:val="000000" w:themeColor="text1"/>
          <w:szCs w:val="24"/>
          <w:lang w:val="kk-KZ" w:eastAsia="en-US"/>
        </w:rPr>
        <w:t>ғы</w:t>
      </w:r>
      <w:r w:rsidRPr="00806AFB">
        <w:rPr>
          <w:rFonts w:eastAsia="Calibri"/>
          <w:color w:val="000000" w:themeColor="text1"/>
          <w:szCs w:val="24"/>
          <w:lang w:eastAsia="en-US"/>
        </w:rPr>
        <w:t>:</w:t>
      </w:r>
    </w:p>
    <w:p w14:paraId="74EF65DA" w14:textId="77777777" w:rsidR="00806AFB" w:rsidRPr="00806AFB" w:rsidRDefault="00806AFB" w:rsidP="00806AF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806AFB">
        <w:rPr>
          <w:rFonts w:eastAsia="Calibri"/>
          <w:color w:val="000000" w:themeColor="text1"/>
          <w:szCs w:val="24"/>
          <w:lang w:eastAsia="en-US"/>
        </w:rPr>
        <w:t xml:space="preserve">KPI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уақытында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жеткізілген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тапсырыстардың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пайызын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өлшейді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>.</w:t>
      </w:r>
    </w:p>
    <w:p w14:paraId="2F11CC47" w14:textId="77777777" w:rsidR="00806AFB" w:rsidRDefault="00806AFB" w:rsidP="00806AF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Шарт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талаптарына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сәйкес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жиілік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метрикасы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мақсаты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100%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орындау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болуы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тиіс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>.</w:t>
      </w:r>
    </w:p>
    <w:p w14:paraId="39300BC9" w14:textId="77777777" w:rsidR="00806AFB" w:rsidRDefault="00806AFB" w:rsidP="00806AF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56560409" w14:textId="15F043FE" w:rsidR="00806AFB" w:rsidRDefault="00806AFB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806AFB">
        <w:rPr>
          <w:rFonts w:eastAsia="Calibri"/>
          <w:color w:val="000000" w:themeColor="text1"/>
          <w:szCs w:val="24"/>
          <w:lang w:eastAsia="en-US"/>
        </w:rPr>
        <w:t>(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Kotd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) </w:t>
      </w:r>
      <w:r>
        <w:rPr>
          <w:rFonts w:eastAsia="Calibri"/>
          <w:color w:val="000000" w:themeColor="text1"/>
          <w:szCs w:val="24"/>
          <w:lang w:val="kk-KZ" w:eastAsia="en-US"/>
        </w:rPr>
        <w:t>к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оэффициент</w:t>
      </w:r>
      <w:proofErr w:type="spellEnd"/>
      <w:r>
        <w:rPr>
          <w:rFonts w:eastAsia="Calibri"/>
          <w:color w:val="000000" w:themeColor="text1"/>
          <w:szCs w:val="24"/>
          <w:lang w:val="kk-KZ" w:eastAsia="en-US"/>
        </w:rPr>
        <w:t>і</w:t>
      </w:r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val="kk-KZ" w:eastAsia="en-US"/>
        </w:rPr>
        <w:t>Ө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нім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берушінің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Шартта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көзделген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мерзімде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val="kk-KZ" w:eastAsia="en-US"/>
        </w:rPr>
        <w:t>т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ауарларды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жеткізу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жөніндегі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міндеттемелерді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орындауы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көрсеткіштің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сапасын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сипаттайды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>.</w:t>
      </w:r>
    </w:p>
    <w:p w14:paraId="242ADB53" w14:textId="3D6D313A" w:rsidR="000D5C6E" w:rsidRPr="005A14D2" w:rsidRDefault="00806AFB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Сонымен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қатар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, </w:t>
      </w:r>
      <w:r>
        <w:rPr>
          <w:rFonts w:eastAsia="Calibri"/>
          <w:color w:val="000000" w:themeColor="text1"/>
          <w:szCs w:val="24"/>
          <w:lang w:val="kk-KZ" w:eastAsia="en-US"/>
        </w:rPr>
        <w:t>Т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апсырыс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берушімен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келісім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форс-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мажорлық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жағдайдың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әрекеті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расталған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жағдайда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gramStart"/>
      <w:r w:rsidRPr="00806AFB">
        <w:rPr>
          <w:rFonts w:eastAsia="Calibri"/>
          <w:color w:val="000000" w:themeColor="text1"/>
          <w:szCs w:val="24"/>
          <w:lang w:eastAsia="en-US"/>
        </w:rPr>
        <w:t>№1-4</w:t>
      </w:r>
      <w:proofErr w:type="gram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val="kk-KZ" w:eastAsia="en-US"/>
        </w:rPr>
        <w:t>ҚТК</w:t>
      </w:r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есептеуге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жататын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көрсеткіштер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Қ</w:t>
      </w:r>
      <w:r>
        <w:rPr>
          <w:rFonts w:eastAsia="Calibri"/>
          <w:color w:val="000000" w:themeColor="text1"/>
          <w:szCs w:val="24"/>
          <w:lang w:val="kk-KZ" w:eastAsia="en-US"/>
        </w:rPr>
        <w:t>Т</w:t>
      </w:r>
      <w:r w:rsidRPr="00806AFB">
        <w:rPr>
          <w:rFonts w:eastAsia="Calibri"/>
          <w:color w:val="000000" w:themeColor="text1"/>
          <w:szCs w:val="24"/>
          <w:lang w:eastAsia="en-US"/>
        </w:rPr>
        <w:t xml:space="preserve">К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деректерін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есептеу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кезінде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қабылданбауы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осы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фактілерді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ескере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отырып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түзетілуі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06AFB">
        <w:rPr>
          <w:rFonts w:eastAsia="Calibri"/>
          <w:color w:val="000000" w:themeColor="text1"/>
          <w:szCs w:val="24"/>
          <w:lang w:eastAsia="en-US"/>
        </w:rPr>
        <w:t>мүмкін</w:t>
      </w:r>
      <w:proofErr w:type="spellEnd"/>
      <w:r w:rsidRPr="00806AFB">
        <w:rPr>
          <w:rFonts w:eastAsia="Calibri"/>
          <w:color w:val="000000" w:themeColor="text1"/>
          <w:szCs w:val="24"/>
          <w:lang w:eastAsia="en-US"/>
        </w:rPr>
        <w:t>.</w:t>
      </w:r>
    </w:p>
    <w:p w14:paraId="13CFFD11" w14:textId="77777777" w:rsidR="006A3E51" w:rsidRPr="005A14D2" w:rsidRDefault="006A3E51" w:rsidP="006A3E51">
      <w:pPr>
        <w:ind w:firstLine="709"/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14:paraId="476F9FB4" w14:textId="1D0DD1AC" w:rsidR="000D5C6E" w:rsidRPr="005A14D2" w:rsidRDefault="00F9302C" w:rsidP="000D5C6E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 xml:space="preserve">№2 </w:t>
      </w:r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ҚТК</w:t>
      </w:r>
      <w:r w:rsidR="001D522A" w:rsidRPr="005A14D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(Production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quality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) (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Kpq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)</w:t>
      </w:r>
      <w:r w:rsidR="00806AFB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Өнім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сапасының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,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жеткізілетін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өнімге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жарнаманың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>коэффициенті</w:t>
      </w:r>
      <w:proofErr w:type="spellEnd"/>
      <w:r w:rsidR="00806AFB" w:rsidRPr="00806AFB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</w:p>
    <w:p w14:paraId="50C87889" w14:textId="77E280AF" w:rsidR="00740B50" w:rsidRPr="005A14D2" w:rsidRDefault="00740B50" w:rsidP="006A3E5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14:paraId="28E5FD79" w14:textId="5337917F" w:rsidR="000D5C6E" w:rsidRPr="005A14D2" w:rsidRDefault="000D5C6E" w:rsidP="000D5C6E">
      <w:pPr>
        <w:ind w:firstLine="709"/>
        <w:jc w:val="both"/>
        <w:rPr>
          <w:rFonts w:eastAsia="Calibri"/>
          <w:i/>
          <w:iCs/>
          <w:color w:val="000000" w:themeColor="text1"/>
          <w:szCs w:val="24"/>
          <w:lang w:eastAsia="en-US"/>
        </w:rPr>
      </w:pPr>
      <w:proofErr w:type="spellStart"/>
      <w:r w:rsidRPr="005A14D2">
        <w:rPr>
          <w:rFonts w:eastAsia="Calibri"/>
          <w:color w:val="000000" w:themeColor="text1"/>
          <w:szCs w:val="24"/>
          <w:lang w:val="en-US" w:eastAsia="en-US"/>
        </w:rPr>
        <w:t>Kpq</w:t>
      </w:r>
      <w:proofErr w:type="spellEnd"/>
      <w:r w:rsidRPr="005A14D2">
        <w:rPr>
          <w:rFonts w:eastAsia="Calibri"/>
          <w:color w:val="000000" w:themeColor="text1"/>
          <w:szCs w:val="24"/>
          <w:lang w:eastAsia="en-US"/>
        </w:rPr>
        <w:t>=</w:t>
      </w:r>
      <w:r w:rsidR="00806AFB" w:rsidRPr="00806AFB">
        <w:t xml:space="preserve"> </w:t>
      </w:r>
      <w:r w:rsidR="0000659B">
        <w:rPr>
          <w:rFonts w:eastAsia="Calibri"/>
          <w:i/>
          <w:iCs/>
          <w:color w:val="000000" w:themeColor="text1"/>
          <w:szCs w:val="24"/>
          <w:lang w:val="kk-KZ" w:eastAsia="en-US"/>
        </w:rPr>
        <w:t>жеткізілген с</w:t>
      </w:r>
      <w:proofErr w:type="spellStart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>апалы</w:t>
      </w:r>
      <w:proofErr w:type="spellEnd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>бұйымдар</w:t>
      </w:r>
      <w:proofErr w:type="spellEnd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 xml:space="preserve"> /</w:t>
      </w:r>
      <w:r w:rsidR="0000659B">
        <w:rPr>
          <w:rFonts w:eastAsia="Calibri"/>
          <w:i/>
          <w:iCs/>
          <w:color w:val="000000" w:themeColor="text1"/>
          <w:szCs w:val="24"/>
          <w:lang w:val="kk-KZ" w:eastAsia="en-US"/>
        </w:rPr>
        <w:t>б</w:t>
      </w:r>
      <w:proofErr w:type="spellStart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>арлығы</w:t>
      </w:r>
      <w:proofErr w:type="spellEnd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>жеткізілген</w:t>
      </w:r>
      <w:proofErr w:type="spellEnd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 xml:space="preserve"> </w:t>
      </w:r>
      <w:proofErr w:type="spellStart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>бірлік</w:t>
      </w:r>
      <w:proofErr w:type="spellEnd"/>
      <w:r w:rsidR="00806AFB" w:rsidRPr="00806AFB">
        <w:rPr>
          <w:rFonts w:eastAsia="Calibri"/>
          <w:i/>
          <w:iCs/>
          <w:color w:val="000000" w:themeColor="text1"/>
          <w:szCs w:val="24"/>
          <w:lang w:eastAsia="en-US"/>
        </w:rPr>
        <w:t>.</w:t>
      </w:r>
    </w:p>
    <w:p w14:paraId="255AE93F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029E8E30" w14:textId="0D10D1BE" w:rsidR="0000659B" w:rsidRPr="0000659B" w:rsidRDefault="0000659B" w:rsidP="0000659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мұнда</w:t>
      </w:r>
      <w:proofErr w:type="spellEnd"/>
      <w:r>
        <w:rPr>
          <w:rFonts w:eastAsia="Calibri"/>
          <w:color w:val="000000" w:themeColor="text1"/>
          <w:szCs w:val="24"/>
          <w:lang w:val="kk-KZ" w:eastAsia="en-US"/>
        </w:rPr>
        <w:t>ғы</w:t>
      </w:r>
      <w:r w:rsidRPr="0000659B">
        <w:rPr>
          <w:rFonts w:eastAsia="Calibri"/>
          <w:color w:val="000000" w:themeColor="text1"/>
          <w:szCs w:val="24"/>
          <w:lang w:eastAsia="en-US"/>
        </w:rPr>
        <w:t>:</w:t>
      </w:r>
    </w:p>
    <w:p w14:paraId="17C174B3" w14:textId="77777777" w:rsidR="0000659B" w:rsidRPr="0000659B" w:rsidRDefault="0000659B" w:rsidP="0000659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00659B">
        <w:rPr>
          <w:rFonts w:eastAsia="Calibri"/>
          <w:color w:val="000000" w:themeColor="text1"/>
          <w:szCs w:val="24"/>
          <w:lang w:eastAsia="en-US"/>
        </w:rPr>
        <w:t xml:space="preserve">KPI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сапалы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жеткізілген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тапсырыстардың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пайызын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өлшейді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>.</w:t>
      </w:r>
    </w:p>
    <w:p w14:paraId="73A6B669" w14:textId="77777777" w:rsidR="0000659B" w:rsidRPr="0000659B" w:rsidRDefault="0000659B" w:rsidP="0000659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Шарт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талаптары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мен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мақсаты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жиілік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метрикасы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100%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орындалуы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тиіс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>.</w:t>
      </w:r>
    </w:p>
    <w:p w14:paraId="31B94E30" w14:textId="77777777" w:rsidR="0000659B" w:rsidRDefault="0000659B" w:rsidP="0000659B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Бұл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ретте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кепілдік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функционалдық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пайдалану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эргономикалық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талаптарға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сәйкестікті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қамтамасыз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етеді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>.</w:t>
      </w:r>
    </w:p>
    <w:p w14:paraId="76020D5C" w14:textId="77777777" w:rsidR="0000659B" w:rsidRDefault="0000659B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Тауардың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функционалдық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талаптары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оның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негізгі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функциясының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материалдарын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орындауды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қамтамасыз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етуі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тиіс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(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адамды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қоршаған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орта,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өндіріс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жағдайларының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қолайсыз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әсерінен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қорғау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т.б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>.).</w:t>
      </w:r>
    </w:p>
    <w:p w14:paraId="588E2415" w14:textId="77777777" w:rsidR="0000659B" w:rsidRDefault="0000659B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Тауардың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пайдалану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талаптары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материалдардың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сенімділігін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атап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айтқанда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пайдалану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процесіндегі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материалдардың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тұтастығын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ұзаққа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жарамдылығын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(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яғни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жұмыс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қабілеттілігін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сыртқы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түрін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белгілі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бір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қызмет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мерзіміне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қасиеттерін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сақтау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қабілеті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),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материалдардың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өлшемдік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тұрақтылығын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қалыптық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тұрақтылығын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жөндеуге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жарамдылығын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қамтамасыз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етуі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тиіс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>.</w:t>
      </w:r>
    </w:p>
    <w:p w14:paraId="4982E77B" w14:textId="77777777" w:rsidR="0000659B" w:rsidRDefault="0000659B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Эргономикалық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талаптар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материалдарды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пайдалану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қолайлылығын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көрсетеді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.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Бұл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талаптарға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гигиеналық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антропометриялық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физиологиялық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психофизиологиялық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психикалық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талаптар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жатады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>.</w:t>
      </w:r>
    </w:p>
    <w:p w14:paraId="1F923BA4" w14:textId="77777777" w:rsidR="0000659B" w:rsidRDefault="0000659B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Бағаланатын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кезеңде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кепілдікті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жағдайларды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анықтау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фактілер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болмаған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жағдайда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осы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көрсеткіш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ең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жоғары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 xml:space="preserve"> балл </w:t>
      </w:r>
      <w:proofErr w:type="spellStart"/>
      <w:r w:rsidRPr="0000659B">
        <w:rPr>
          <w:rFonts w:eastAsia="Calibri"/>
          <w:color w:val="000000" w:themeColor="text1"/>
          <w:szCs w:val="24"/>
          <w:lang w:eastAsia="en-US"/>
        </w:rPr>
        <w:t>қолданылады</w:t>
      </w:r>
      <w:proofErr w:type="spellEnd"/>
      <w:r w:rsidRPr="0000659B">
        <w:rPr>
          <w:rFonts w:eastAsia="Calibri"/>
          <w:color w:val="000000" w:themeColor="text1"/>
          <w:szCs w:val="24"/>
          <w:lang w:eastAsia="en-US"/>
        </w:rPr>
        <w:t>.</w:t>
      </w:r>
    </w:p>
    <w:p w14:paraId="6D062A11" w14:textId="3414DDEA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Коэффициент (</w:t>
      </w:r>
      <w:r w:rsidRPr="005A14D2">
        <w:rPr>
          <w:rFonts w:eastAsia="Calibri"/>
          <w:i/>
          <w:iCs/>
          <w:color w:val="000000" w:themeColor="text1"/>
          <w:szCs w:val="24"/>
          <w:lang w:eastAsia="en-US"/>
        </w:rPr>
        <w:t>К</w:t>
      </w:r>
      <w:proofErr w:type="spellStart"/>
      <w:r w:rsidRPr="005A14D2">
        <w:rPr>
          <w:rFonts w:eastAsia="Calibri"/>
          <w:color w:val="000000" w:themeColor="text1"/>
          <w:szCs w:val="24"/>
          <w:lang w:val="en-US" w:eastAsia="en-US"/>
        </w:rPr>
        <w:t>pq</w:t>
      </w:r>
      <w:proofErr w:type="spellEnd"/>
      <w:r w:rsidRPr="005A14D2">
        <w:rPr>
          <w:rFonts w:eastAsia="Calibri"/>
          <w:color w:val="000000" w:themeColor="text1"/>
          <w:szCs w:val="24"/>
          <w:lang w:eastAsia="en-US"/>
        </w:rPr>
        <w:t>) характеризует выявление гарантийных случаев, частоту и количество направленных Покупателем официальных претензий по качеству и заявленным гарантиям после приемки Товара и (или) пуска в эксплуатацию.</w:t>
      </w:r>
    </w:p>
    <w:p w14:paraId="0800A10E" w14:textId="77777777" w:rsidR="006A3E51" w:rsidRPr="005A14D2" w:rsidRDefault="006A3E51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4CD99F2F" w14:textId="454C995A" w:rsidR="00740B50" w:rsidRPr="005A14D2" w:rsidRDefault="00F9302C" w:rsidP="001D522A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>№ 3</w:t>
      </w:r>
      <w:r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r w:rsidR="0043690C">
        <w:rPr>
          <w:rFonts w:eastAsia="Calibri"/>
          <w:b/>
          <w:color w:val="000000" w:themeColor="text1"/>
          <w:szCs w:val="24"/>
          <w:lang w:val="kk-KZ" w:eastAsia="en-US"/>
        </w:rPr>
        <w:t>ҚТК</w:t>
      </w:r>
      <w:r w:rsidR="001D522A" w:rsidRPr="005A14D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(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Rejected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products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) (К 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rp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)</w:t>
      </w:r>
      <w:r w:rsidR="0043690C">
        <w:rPr>
          <w:rFonts w:eastAsia="Calibri"/>
          <w:b/>
          <w:color w:val="000000" w:themeColor="text1"/>
          <w:szCs w:val="24"/>
          <w:lang w:val="kk-KZ" w:eastAsia="en-US"/>
        </w:rPr>
        <w:t xml:space="preserve"> К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іріс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бақылауындағы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қабылданбаған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өнім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санының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>коэффициенті</w:t>
      </w:r>
      <w:proofErr w:type="spellEnd"/>
      <w:r w:rsidR="0043690C" w:rsidRPr="0043690C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</w:p>
    <w:p w14:paraId="53BC9C60" w14:textId="4E843E12" w:rsidR="00881A7C" w:rsidRPr="005A14D2" w:rsidRDefault="00881A7C" w:rsidP="006A3E51">
      <w:pPr>
        <w:rPr>
          <w:rFonts w:eastAsia="Calibri"/>
          <w:color w:val="000000" w:themeColor="text1"/>
          <w:szCs w:val="24"/>
          <w:lang w:eastAsia="en-US"/>
        </w:rPr>
      </w:pPr>
    </w:p>
    <w:p w14:paraId="05C7E19A" w14:textId="1914A588" w:rsidR="00881A7C" w:rsidRPr="005A14D2" w:rsidRDefault="003A7220" w:rsidP="006A3E51">
      <w:pPr>
        <w:jc w:val="center"/>
        <w:rPr>
          <w:rFonts w:eastAsia="Calibri"/>
          <w:color w:val="000000" w:themeColor="text1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Cs w:val="24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Cs w:val="24"/>
                <w:lang w:eastAsia="en-US"/>
              </w:rPr>
              <m:t>ақау</m:t>
            </m:r>
          </m:sub>
        </m:sSub>
        <m:r>
          <w:rPr>
            <w:rFonts w:ascii="Cambria Math" w:eastAsia="Calibri" w:hAnsi="Cambria Math"/>
            <w:color w:val="000000" w:themeColor="text1"/>
            <w:szCs w:val="24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color w:val="000000" w:themeColor="text1"/>
                <w:szCs w:val="24"/>
                <w:lang w:eastAsia="en-US"/>
              </w:rPr>
            </m:ctrlPr>
          </m:fPr>
          <m:num>
            <w:bookmarkStart w:id="0" w:name="_Hlk125625549"/>
            <m:sSub>
              <m:sSubPr>
                <m:ctrlPr>
                  <w:rPr>
                    <w:rFonts w:ascii="Cambria Math" w:eastAsia="Calibri" w:hAnsi="Cambria Math"/>
                    <w:i/>
                    <w:color w:val="000000" w:themeColor="text1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Cs w:val="24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color w:val="000000" w:themeColor="text1"/>
                    <w:szCs w:val="24"/>
                    <w:lang w:eastAsia="en-US"/>
                  </w:rPr>
                  <m:t>ақау</m:t>
                </m:r>
              </m:sub>
            </m:sSub>
            <w:bookmarkEnd w:id="0"/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color w:val="000000" w:themeColor="text1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Cs w:val="24"/>
                    <w:lang w:val="en-US"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color w:val="000000" w:themeColor="text1"/>
                    <w:szCs w:val="24"/>
                    <w:lang w:eastAsia="en-US"/>
                  </w:rPr>
                  <m:t>жалпы жеткізу</m:t>
                </m:r>
              </m:sub>
            </m:sSub>
          </m:den>
        </m:f>
      </m:oMath>
      <w:r w:rsidR="00183452" w:rsidRPr="005A14D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0D5C6E" w:rsidRPr="005A14D2">
        <w:rPr>
          <w:rFonts w:eastAsia="Calibri"/>
          <w:color w:val="000000" w:themeColor="text1"/>
          <w:szCs w:val="24"/>
          <w:lang w:eastAsia="en-US"/>
        </w:rPr>
        <w:t>*100%</w:t>
      </w:r>
      <w:r w:rsidR="00183452" w:rsidRPr="005A14D2">
        <w:rPr>
          <w:rFonts w:eastAsia="Calibri"/>
          <w:color w:val="000000" w:themeColor="text1"/>
          <w:szCs w:val="24"/>
          <w:lang w:eastAsia="en-US"/>
        </w:rPr>
        <w:t>,</w:t>
      </w:r>
    </w:p>
    <w:p w14:paraId="1034FDD2" w14:textId="3E3AF51C" w:rsidR="0043690C" w:rsidRPr="0043690C" w:rsidRDefault="0043690C" w:rsidP="0043690C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lastRenderedPageBreak/>
        <w:t>мұнда</w:t>
      </w:r>
      <w:proofErr w:type="spellEnd"/>
      <w:r>
        <w:rPr>
          <w:rFonts w:eastAsia="Calibri"/>
          <w:color w:val="000000" w:themeColor="text1"/>
          <w:szCs w:val="24"/>
          <w:lang w:val="kk-KZ" w:eastAsia="en-US"/>
        </w:rPr>
        <w:t>ғы</w:t>
      </w:r>
      <w:r w:rsidRPr="0043690C">
        <w:rPr>
          <w:rFonts w:eastAsia="Calibri"/>
          <w:color w:val="000000" w:themeColor="text1"/>
          <w:szCs w:val="24"/>
          <w:lang w:eastAsia="en-US"/>
        </w:rPr>
        <w:t>:</w:t>
      </w:r>
    </w:p>
    <w:p w14:paraId="5BFA1789" w14:textId="3CC934B8" w:rsidR="0043690C" w:rsidRPr="0043690C" w:rsidRDefault="003A7220" w:rsidP="0043690C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Cs w:val="24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Cs w:val="24"/>
                <w:lang w:eastAsia="en-US"/>
              </w:rPr>
              <m:t>ақау</m:t>
            </m:r>
          </m:sub>
        </m:sSub>
      </m:oMath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- есепті кезеңде Тауарды кіріс бақылау және (немесе) қабылдау қорытындылары бойынша анықталған жарамсыз Тауардың көлемі (№ _ қосымшаның өлшем бірліктерінде);</w:t>
      </w:r>
    </w:p>
    <w:p w14:paraId="69164915" w14:textId="2E246DF7" w:rsidR="0043690C" w:rsidRDefault="003A7220" w:rsidP="0043690C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Cs w:val="24"/>
                <w:lang w:eastAsia="en-US"/>
              </w:rPr>
              <m:t>жалпы жеткізу</m:t>
            </m:r>
          </m:sub>
        </m:sSub>
      </m:oMath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- есепті кезеңде </w:t>
      </w:r>
      <w:proofErr w:type="spellStart"/>
      <w:r w:rsidR="0043690C" w:rsidRPr="0043690C">
        <w:rPr>
          <w:rFonts w:eastAsia="Calibri"/>
          <w:color w:val="000000" w:themeColor="text1"/>
          <w:szCs w:val="24"/>
          <w:lang w:eastAsia="en-US"/>
        </w:rPr>
        <w:t>жеткізілген</w:t>
      </w:r>
      <w:proofErr w:type="spellEnd"/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color w:val="000000" w:themeColor="text1"/>
          <w:szCs w:val="24"/>
          <w:lang w:eastAsia="en-US"/>
        </w:rPr>
        <w:t>Тауардың</w:t>
      </w:r>
      <w:proofErr w:type="spellEnd"/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color w:val="000000" w:themeColor="text1"/>
          <w:szCs w:val="24"/>
          <w:lang w:eastAsia="en-US"/>
        </w:rPr>
        <w:t>жалпы</w:t>
      </w:r>
      <w:proofErr w:type="spellEnd"/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color w:val="000000" w:themeColor="text1"/>
          <w:szCs w:val="24"/>
          <w:lang w:eastAsia="en-US"/>
        </w:rPr>
        <w:t>көлемі</w:t>
      </w:r>
      <w:proofErr w:type="spellEnd"/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(№ 1 </w:t>
      </w:r>
      <w:proofErr w:type="spellStart"/>
      <w:r w:rsidR="0043690C" w:rsidRPr="0043690C">
        <w:rPr>
          <w:rFonts w:eastAsia="Calibri"/>
          <w:color w:val="000000" w:themeColor="text1"/>
          <w:szCs w:val="24"/>
          <w:lang w:eastAsia="en-US"/>
        </w:rPr>
        <w:t>қосымшаның</w:t>
      </w:r>
      <w:proofErr w:type="spellEnd"/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color w:val="000000" w:themeColor="text1"/>
          <w:szCs w:val="24"/>
          <w:lang w:eastAsia="en-US"/>
        </w:rPr>
        <w:t>өлшем</w:t>
      </w:r>
      <w:proofErr w:type="spellEnd"/>
      <w:r w:rsidR="0043690C"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43690C" w:rsidRPr="0043690C">
        <w:rPr>
          <w:rFonts w:eastAsia="Calibri"/>
          <w:color w:val="000000" w:themeColor="text1"/>
          <w:szCs w:val="24"/>
          <w:lang w:eastAsia="en-US"/>
        </w:rPr>
        <w:t>бірліктерінде</w:t>
      </w:r>
      <w:proofErr w:type="spellEnd"/>
      <w:r w:rsidR="0043690C" w:rsidRPr="0043690C">
        <w:rPr>
          <w:rFonts w:eastAsia="Calibri"/>
          <w:color w:val="000000" w:themeColor="text1"/>
          <w:szCs w:val="24"/>
          <w:lang w:eastAsia="en-US"/>
        </w:rPr>
        <w:t>).</w:t>
      </w:r>
    </w:p>
    <w:p w14:paraId="6BDB010B" w14:textId="0A146DCE" w:rsidR="00881A7C" w:rsidRPr="005A14D2" w:rsidRDefault="0043690C" w:rsidP="0043690C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Жарамсыз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өнімді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анықтау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фактілер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болмаған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жағдайда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осы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көрсеткіш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бағаланатын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кезеңге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кіріс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бақылауында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ең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жоғары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 xml:space="preserve"> балл </w:t>
      </w:r>
      <w:proofErr w:type="spellStart"/>
      <w:r w:rsidRPr="0043690C">
        <w:rPr>
          <w:rFonts w:eastAsia="Calibri"/>
          <w:color w:val="000000" w:themeColor="text1"/>
          <w:szCs w:val="24"/>
          <w:lang w:eastAsia="en-US"/>
        </w:rPr>
        <w:t>қолданылады</w:t>
      </w:r>
      <w:proofErr w:type="spellEnd"/>
      <w:r w:rsidRPr="0043690C">
        <w:rPr>
          <w:rFonts w:eastAsia="Calibri"/>
          <w:color w:val="000000" w:themeColor="text1"/>
          <w:szCs w:val="24"/>
          <w:lang w:eastAsia="en-US"/>
        </w:rPr>
        <w:t>.</w:t>
      </w:r>
    </w:p>
    <w:p w14:paraId="37CD2385" w14:textId="0E9F2A90" w:rsidR="00F44585" w:rsidRPr="0043690C" w:rsidRDefault="00F44585" w:rsidP="00EC06C8">
      <w:pPr>
        <w:ind w:firstLine="709"/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 (</w:t>
      </w:r>
      <w:proofErr w:type="spellStart"/>
      <w:r w:rsidRPr="005A14D2">
        <w:rPr>
          <w:rFonts w:eastAsia="Calibri"/>
          <w:color w:val="000000" w:themeColor="text1"/>
          <w:szCs w:val="24"/>
          <w:lang w:eastAsia="en-US"/>
        </w:rPr>
        <w:t>К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>брак</w:t>
      </w:r>
      <w:proofErr w:type="spellEnd"/>
      <w:r w:rsidRPr="005A14D2">
        <w:rPr>
          <w:rFonts w:eastAsia="Calibri"/>
          <w:color w:val="000000" w:themeColor="text1"/>
          <w:szCs w:val="24"/>
          <w:lang w:eastAsia="en-US"/>
        </w:rPr>
        <w:t>)</w:t>
      </w:r>
      <w:r w:rsidR="0043690C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>коэффиценті кіріс бақылауын жүзеге асыру кезінде жарамсыз өнімнің пайыздық қатынасын сипаттайды.</w:t>
      </w:r>
    </w:p>
    <w:p w14:paraId="7B0D30B7" w14:textId="454C21B7" w:rsidR="000D5C6E" w:rsidRPr="00F9302C" w:rsidRDefault="000D5C6E" w:rsidP="000D5C6E">
      <w:pPr>
        <w:ind w:firstLine="708"/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F9302C">
        <w:rPr>
          <w:rFonts w:eastAsia="Calibri"/>
          <w:color w:val="000000" w:themeColor="text1"/>
          <w:szCs w:val="24"/>
          <w:lang w:val="kk-KZ" w:eastAsia="en-US"/>
        </w:rPr>
        <w:t>(Кrp)</w:t>
      </w:r>
      <w:r w:rsidR="00F9302C">
        <w:rPr>
          <w:rFonts w:eastAsia="Calibri"/>
          <w:color w:val="000000" w:themeColor="text1"/>
          <w:szCs w:val="24"/>
          <w:lang w:val="kk-KZ" w:eastAsia="en-US"/>
        </w:rPr>
        <w:t xml:space="preserve"> коэффиценті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 xml:space="preserve">кіріс бақылауын жүзеге асыру кезінде </w:t>
      </w:r>
      <w:r w:rsidR="00F9302C">
        <w:rPr>
          <w:rFonts w:eastAsia="Calibri"/>
          <w:color w:val="000000" w:themeColor="text1"/>
          <w:szCs w:val="24"/>
          <w:lang w:val="kk-KZ" w:eastAsia="en-US"/>
        </w:rPr>
        <w:t>жарамсыз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 xml:space="preserve"> өнімнің пайыздық қатынасын сипаттайды.</w:t>
      </w:r>
    </w:p>
    <w:p w14:paraId="51AF8494" w14:textId="77777777" w:rsidR="00F9302C" w:rsidRDefault="00F9302C" w:rsidP="00F9302C">
      <w:pPr>
        <w:ind w:firstLine="708"/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F9302C">
        <w:rPr>
          <w:rFonts w:eastAsia="Calibri"/>
          <w:color w:val="000000" w:themeColor="text1"/>
          <w:szCs w:val="24"/>
          <w:lang w:val="kk-KZ" w:eastAsia="en-US"/>
        </w:rPr>
        <w:t>№ 3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ҚТК о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>сы көрсеткіш  «Жарамсыз өнім санының кіріс бақылауындағы коэффициенті» Тапсырыс берушінің шешімі бойынша портфельдік компаниямен (</w:t>
      </w:r>
      <w:r>
        <w:rPr>
          <w:rFonts w:eastAsia="Calibri"/>
          <w:color w:val="000000" w:themeColor="text1"/>
          <w:szCs w:val="24"/>
          <w:lang w:val="kk-KZ" w:eastAsia="en-US"/>
        </w:rPr>
        <w:t>П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>К) келісім бойынша алып тасталуы мүмкін.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 xml:space="preserve">Бұл ретте № 1, 2, 4, 5 </w:t>
      </w:r>
      <w:r>
        <w:rPr>
          <w:rFonts w:eastAsia="Calibri"/>
          <w:color w:val="000000" w:themeColor="text1"/>
          <w:szCs w:val="24"/>
          <w:lang w:val="kk-KZ" w:eastAsia="en-US"/>
        </w:rPr>
        <w:t>ҚТК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 xml:space="preserve"> көрсеткіштерінің үлес салмағы мынадай түрде бөлінеді:</w:t>
      </w:r>
    </w:p>
    <w:p w14:paraId="4EE27261" w14:textId="0B621A7D" w:rsidR="000D5C6E" w:rsidRPr="00F9302C" w:rsidRDefault="000D5C6E" w:rsidP="00F9302C">
      <w:pPr>
        <w:ind w:firstLine="708"/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F9302C">
        <w:rPr>
          <w:rFonts w:eastAsia="Calibri"/>
          <w:color w:val="000000" w:themeColor="text1"/>
          <w:szCs w:val="24"/>
          <w:lang w:val="kk-KZ" w:eastAsia="en-US"/>
        </w:rPr>
        <w:t>№1</w:t>
      </w:r>
      <w:r w:rsidR="00F9302C">
        <w:rPr>
          <w:rFonts w:eastAsia="Calibri"/>
          <w:color w:val="000000" w:themeColor="text1"/>
          <w:szCs w:val="24"/>
          <w:lang w:val="kk-KZ" w:eastAsia="en-US"/>
        </w:rPr>
        <w:t xml:space="preserve"> ҚТК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>«Мерзімінде жеткізу бойынша міндеттемелерді орындау коэффициенті» - 35%;</w:t>
      </w:r>
    </w:p>
    <w:p w14:paraId="2ED8B5CE" w14:textId="77777777" w:rsidR="00F9302C" w:rsidRDefault="000D5C6E" w:rsidP="00414778">
      <w:pPr>
        <w:numPr>
          <w:ilvl w:val="0"/>
          <w:numId w:val="9"/>
        </w:num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F9302C">
        <w:rPr>
          <w:rFonts w:eastAsia="Calibri"/>
          <w:color w:val="000000" w:themeColor="text1"/>
          <w:szCs w:val="24"/>
          <w:lang w:val="kk-KZ" w:eastAsia="en-US"/>
        </w:rPr>
        <w:t>№2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 xml:space="preserve"> ҚТК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>«Өнім сапасының коэффициенті, жеткізілетін өнімге жарнамалау» - 30%;</w:t>
      </w:r>
    </w:p>
    <w:p w14:paraId="321FF920" w14:textId="5CE9E090" w:rsidR="000D5C6E" w:rsidRPr="00F9302C" w:rsidRDefault="000D5C6E" w:rsidP="00414778">
      <w:pPr>
        <w:numPr>
          <w:ilvl w:val="0"/>
          <w:numId w:val="9"/>
        </w:num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F9302C">
        <w:rPr>
          <w:rFonts w:eastAsia="Calibri"/>
          <w:color w:val="000000" w:themeColor="text1"/>
          <w:szCs w:val="24"/>
          <w:lang w:val="kk-KZ" w:eastAsia="en-US"/>
        </w:rPr>
        <w:t>№4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 xml:space="preserve"> ҚТК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>«ESG критерийлеріне сәйкестік коэффициенті» - 15%;</w:t>
      </w:r>
    </w:p>
    <w:p w14:paraId="0FA51B5E" w14:textId="3C436A21" w:rsidR="000D5C6E" w:rsidRPr="00F9302C" w:rsidRDefault="000D5C6E" w:rsidP="000D5C6E">
      <w:pPr>
        <w:numPr>
          <w:ilvl w:val="0"/>
          <w:numId w:val="9"/>
        </w:num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F9302C">
        <w:rPr>
          <w:rFonts w:eastAsia="Calibri"/>
          <w:color w:val="000000" w:themeColor="text1"/>
          <w:szCs w:val="24"/>
          <w:lang w:val="kk-KZ" w:eastAsia="en-US"/>
        </w:rPr>
        <w:t>№5</w:t>
      </w:r>
      <w:r w:rsidR="00F9302C">
        <w:rPr>
          <w:rFonts w:eastAsia="Calibri"/>
          <w:color w:val="000000" w:themeColor="text1"/>
          <w:szCs w:val="24"/>
          <w:lang w:val="kk-KZ" w:eastAsia="en-US"/>
        </w:rPr>
        <w:t xml:space="preserve"> ҚТК</w:t>
      </w:r>
      <w:r w:rsidRPr="00F9302C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color w:val="000000" w:themeColor="text1"/>
          <w:szCs w:val="24"/>
          <w:lang w:val="kk-KZ" w:eastAsia="en-US"/>
        </w:rPr>
        <w:t>«Жергілікті қамту үлесін орындау коэффициенті» - 25%.</w:t>
      </w:r>
    </w:p>
    <w:p w14:paraId="53D87198" w14:textId="1766C190" w:rsidR="00F44585" w:rsidRPr="00F9302C" w:rsidRDefault="00F44585" w:rsidP="000D5C6E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</w:p>
    <w:p w14:paraId="7B53B9CD" w14:textId="57A595D3" w:rsidR="001D522A" w:rsidRPr="00F9302C" w:rsidRDefault="001D522A" w:rsidP="001D522A">
      <w:pPr>
        <w:rPr>
          <w:rFonts w:eastAsia="Calibri"/>
          <w:b/>
          <w:color w:val="000000" w:themeColor="text1"/>
          <w:szCs w:val="24"/>
          <w:lang w:val="kk-KZ" w:eastAsia="en-US"/>
        </w:rPr>
      </w:pPr>
      <w:r w:rsidRPr="00F9302C">
        <w:rPr>
          <w:rFonts w:eastAsia="Calibri"/>
          <w:b/>
          <w:color w:val="000000" w:themeColor="text1"/>
          <w:szCs w:val="24"/>
          <w:lang w:val="kk-KZ" w:eastAsia="en-US"/>
        </w:rPr>
        <w:t>№ 4</w:t>
      </w:r>
      <w:r w:rsidR="00F9302C">
        <w:rPr>
          <w:rFonts w:eastAsia="Calibri"/>
          <w:b/>
          <w:color w:val="000000" w:themeColor="text1"/>
          <w:szCs w:val="24"/>
          <w:lang w:val="kk-KZ" w:eastAsia="en-US"/>
        </w:rPr>
        <w:t xml:space="preserve"> ҚТК</w:t>
      </w:r>
      <w:r w:rsidRPr="00F9302C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b/>
          <w:color w:val="000000" w:themeColor="text1"/>
          <w:szCs w:val="24"/>
          <w:lang w:val="kk-KZ" w:eastAsia="en-US"/>
        </w:rPr>
        <w:t>(Principles ESG) (Кesg)</w:t>
      </w:r>
      <w:r w:rsidR="00F9302C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r w:rsidR="00F9302C" w:rsidRPr="00F9302C">
        <w:rPr>
          <w:rFonts w:eastAsia="Calibri"/>
          <w:b/>
          <w:color w:val="000000" w:themeColor="text1"/>
          <w:szCs w:val="24"/>
          <w:lang w:val="kk-KZ" w:eastAsia="en-US"/>
        </w:rPr>
        <w:t>ESG өлшемдеріне сәйкестік коэффициенті</w:t>
      </w:r>
      <w:r w:rsidRPr="00F9302C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</w:p>
    <w:p w14:paraId="5C1C66E3" w14:textId="48A3E76F" w:rsidR="001D522A" w:rsidRPr="00F9302C" w:rsidRDefault="001D522A" w:rsidP="000D5C6E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</w:p>
    <w:p w14:paraId="2EDC78D1" w14:textId="2BC083D3" w:rsidR="001D522A" w:rsidRPr="00B15021" w:rsidRDefault="001D522A" w:rsidP="001D522A">
      <w:pPr>
        <w:jc w:val="center"/>
        <w:rPr>
          <w:rFonts w:eastAsia="Calibri"/>
          <w:i/>
          <w:iCs/>
          <w:color w:val="000000" w:themeColor="text1"/>
          <w:szCs w:val="24"/>
          <w:lang w:val="kk-KZ" w:eastAsia="en-US"/>
        </w:rPr>
      </w:pPr>
      <w:r w:rsidRPr="00B15021">
        <w:rPr>
          <w:rFonts w:eastAsia="Calibri"/>
          <w:i/>
          <w:iCs/>
          <w:color w:val="000000" w:themeColor="text1"/>
          <w:szCs w:val="24"/>
          <w:lang w:val="kk-KZ" w:eastAsia="en-US"/>
        </w:rPr>
        <w:t>Кesg= ∑</w:t>
      </w:r>
      <w:r w:rsidR="00F9302C" w:rsidRPr="00B15021">
        <w:rPr>
          <w:lang w:val="kk-KZ"/>
        </w:rPr>
        <w:t xml:space="preserve"> </w:t>
      </w:r>
      <w:r w:rsidR="00F9302C" w:rsidRPr="00B15021">
        <w:rPr>
          <w:rFonts w:eastAsia="Calibri"/>
          <w:i/>
          <w:iCs/>
          <w:color w:val="000000" w:themeColor="text1"/>
          <w:szCs w:val="24"/>
          <w:lang w:val="kk-KZ" w:eastAsia="en-US"/>
        </w:rPr>
        <w:t>критерийлер тізіміне сәйкес балл</w:t>
      </w:r>
    </w:p>
    <w:p w14:paraId="6C2C263A" w14:textId="77777777" w:rsidR="001D522A" w:rsidRPr="00B15021" w:rsidRDefault="001D522A" w:rsidP="001D522A">
      <w:pPr>
        <w:jc w:val="center"/>
        <w:rPr>
          <w:rFonts w:eastAsia="Calibri"/>
          <w:color w:val="000000" w:themeColor="text1"/>
          <w:szCs w:val="24"/>
          <w:lang w:val="kk-KZ" w:eastAsia="en-US"/>
        </w:rPr>
      </w:pPr>
    </w:p>
    <w:p w14:paraId="0D37857A" w14:textId="77777777" w:rsidR="00B15021" w:rsidRPr="003A7220" w:rsidRDefault="00B15021" w:rsidP="001D522A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B15021">
        <w:rPr>
          <w:rFonts w:eastAsia="Calibri"/>
          <w:color w:val="000000" w:themeColor="text1"/>
          <w:szCs w:val="24"/>
          <w:lang w:val="kk-KZ" w:eastAsia="en-US"/>
        </w:rPr>
        <w:t xml:space="preserve">KPI жеткізушінің ESG шеңберінде орнықты дамуды басқару қағидаттарына сәйкестігі деңгейін өлшейді. 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>Баллдарды есептеу № 1 кестеде жазылған критерийлерге сәйкестігі бойынша жүргізіледі.</w:t>
      </w:r>
    </w:p>
    <w:p w14:paraId="7459C65D" w14:textId="39131CBA" w:rsidR="00B15021" w:rsidRPr="003A7220" w:rsidRDefault="001D522A" w:rsidP="00B15021">
      <w:pPr>
        <w:jc w:val="both"/>
        <w:rPr>
          <w:rFonts w:eastAsia="Calibri"/>
          <w:color w:val="000000" w:themeColor="text1"/>
          <w:lang w:val="kk-KZ" w:eastAsia="en-US"/>
        </w:rPr>
      </w:pPr>
      <w:r w:rsidRPr="003A7220">
        <w:rPr>
          <w:rFonts w:eastAsia="Calibri"/>
          <w:color w:val="000000" w:themeColor="text1"/>
          <w:szCs w:val="24"/>
          <w:lang w:val="kk-KZ" w:eastAsia="en-US"/>
        </w:rPr>
        <w:tab/>
      </w:r>
      <w:r w:rsidR="00B15021" w:rsidRPr="003A7220">
        <w:rPr>
          <w:rFonts w:eastAsia="Calibri"/>
          <w:color w:val="000000" w:themeColor="text1"/>
          <w:lang w:val="kk-KZ" w:eastAsia="en-US"/>
        </w:rPr>
        <w:t xml:space="preserve"> (Kesg)</w:t>
      </w:r>
      <w:r w:rsidR="00B15021">
        <w:rPr>
          <w:rFonts w:eastAsia="Calibri"/>
          <w:color w:val="000000" w:themeColor="text1"/>
          <w:lang w:val="kk-KZ" w:eastAsia="en-US"/>
        </w:rPr>
        <w:t xml:space="preserve"> коэффиценті</w:t>
      </w:r>
      <w:r w:rsidR="00B15021" w:rsidRPr="003A7220">
        <w:rPr>
          <w:rFonts w:eastAsia="Calibri"/>
          <w:color w:val="000000" w:themeColor="text1"/>
          <w:lang w:val="kk-KZ" w:eastAsia="en-US"/>
        </w:rPr>
        <w:t xml:space="preserve"> Өнім берушінің тұрақты дамуды басқару жөніндегі ESG қағидатына сәйкестігі деңгейін сипаттайды.</w:t>
      </w:r>
    </w:p>
    <w:p w14:paraId="0DD89C88" w14:textId="35E20017" w:rsidR="001D522A" w:rsidRPr="003A7220" w:rsidRDefault="00B15021" w:rsidP="001D522A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B15021">
        <w:rPr>
          <w:rFonts w:eastAsia="Calibri"/>
          <w:color w:val="000000" w:themeColor="text1"/>
          <w:szCs w:val="24"/>
          <w:lang w:val="kk-KZ" w:eastAsia="en-US"/>
        </w:rPr>
        <w:t xml:space="preserve">№4 ҚТК </w:t>
      </w:r>
      <w:r>
        <w:rPr>
          <w:rFonts w:eastAsia="Calibri"/>
          <w:color w:val="000000" w:themeColor="text1"/>
          <w:szCs w:val="24"/>
          <w:lang w:val="kk-KZ" w:eastAsia="en-US"/>
        </w:rPr>
        <w:t>«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>ESG критерийлеріне сәйкестік коэффициенті</w:t>
      </w:r>
      <w:r>
        <w:rPr>
          <w:rFonts w:eastAsia="Calibri"/>
          <w:color w:val="000000" w:themeColor="text1"/>
          <w:szCs w:val="24"/>
          <w:lang w:val="kk-KZ" w:eastAsia="en-US"/>
        </w:rPr>
        <w:t>»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 xml:space="preserve"> бұл көрсеткіші 7 млн.теңгеге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>(ҚҚС-сыз)  тең және (немесе) асатын сатып алуды жүзеге асырған жағдайда қолданылады.</w:t>
      </w:r>
      <w:r w:rsidR="001D522A" w:rsidRPr="003A7220">
        <w:rPr>
          <w:rFonts w:eastAsia="Calibri"/>
          <w:color w:val="000000" w:themeColor="text1"/>
          <w:szCs w:val="24"/>
          <w:lang w:val="kk-KZ" w:eastAsia="en-US"/>
        </w:rPr>
        <w:t xml:space="preserve">  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 xml:space="preserve">Бұл ретте № 1, 2 және 5 </w:t>
      </w:r>
      <w:r>
        <w:rPr>
          <w:rFonts w:eastAsia="Calibri"/>
          <w:color w:val="000000" w:themeColor="text1"/>
          <w:szCs w:val="24"/>
          <w:lang w:val="kk-KZ" w:eastAsia="en-US"/>
        </w:rPr>
        <w:t>ҚТК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 xml:space="preserve"> көрсеткіштерінің үлес салмағы мынадай түрде бөлінеді:</w:t>
      </w:r>
    </w:p>
    <w:p w14:paraId="49F9C826" w14:textId="43E85A28" w:rsidR="001D522A" w:rsidRPr="003A7220" w:rsidRDefault="00B15021" w:rsidP="001D522A">
      <w:pPr>
        <w:numPr>
          <w:ilvl w:val="0"/>
          <w:numId w:val="10"/>
        </w:num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3A7220">
        <w:rPr>
          <w:rFonts w:eastAsia="Calibri"/>
          <w:color w:val="000000" w:themeColor="text1"/>
          <w:szCs w:val="24"/>
          <w:lang w:val="kk-KZ" w:eastAsia="en-US"/>
        </w:rPr>
        <w:t>№1 ҚТК «Мерзімінде жеткізу бойынша міндеттемелерді орындау коэффициенті» - 40%;</w:t>
      </w:r>
    </w:p>
    <w:p w14:paraId="0E80433B" w14:textId="25A6DDA0" w:rsidR="001D522A" w:rsidRPr="003A7220" w:rsidRDefault="00B15021" w:rsidP="001D522A">
      <w:pPr>
        <w:numPr>
          <w:ilvl w:val="0"/>
          <w:numId w:val="10"/>
        </w:num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3A7220">
        <w:rPr>
          <w:rFonts w:eastAsia="Calibri"/>
          <w:color w:val="000000" w:themeColor="text1"/>
          <w:szCs w:val="24"/>
          <w:lang w:val="kk-KZ" w:eastAsia="en-US"/>
        </w:rPr>
        <w:t>№2 ҚТК</w:t>
      </w:r>
      <w:r w:rsidR="001D522A" w:rsidRPr="003A7220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>«Өнім сапасының коэффициенті, жеткізілетін өнімге жарнамалау» - 30%;</w:t>
      </w:r>
    </w:p>
    <w:p w14:paraId="52F2666A" w14:textId="12EAF14B" w:rsidR="001D522A" w:rsidRPr="003A7220" w:rsidRDefault="00B15021" w:rsidP="003247F3">
      <w:pPr>
        <w:numPr>
          <w:ilvl w:val="0"/>
          <w:numId w:val="10"/>
        </w:num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3A7220">
        <w:rPr>
          <w:rFonts w:eastAsia="Calibri"/>
          <w:color w:val="000000" w:themeColor="text1"/>
          <w:szCs w:val="24"/>
          <w:lang w:val="kk-KZ" w:eastAsia="en-US"/>
        </w:rPr>
        <w:t>№5 ҚТК</w:t>
      </w:r>
      <w:r w:rsidR="001D522A" w:rsidRPr="003A7220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>«Жергілікті қамту үлесін орындау коэффициенті» - 30%.</w:t>
      </w:r>
    </w:p>
    <w:p w14:paraId="7F278D98" w14:textId="0D683CE0" w:rsidR="001D522A" w:rsidRPr="00B15021" w:rsidRDefault="001D522A" w:rsidP="001D522A">
      <w:pPr>
        <w:jc w:val="right"/>
        <w:rPr>
          <w:rFonts w:eastAsia="Calibri"/>
          <w:color w:val="000000" w:themeColor="text1"/>
          <w:szCs w:val="24"/>
          <w:lang w:val="kk-KZ"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№ 1</w:t>
      </w:r>
      <w:r w:rsidR="00B15021">
        <w:rPr>
          <w:rFonts w:eastAsia="Calibri"/>
          <w:color w:val="000000" w:themeColor="text1"/>
          <w:szCs w:val="24"/>
          <w:lang w:val="kk-KZ" w:eastAsia="en-US"/>
        </w:rPr>
        <w:t xml:space="preserve"> кесте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1"/>
        <w:gridCol w:w="4883"/>
        <w:gridCol w:w="1559"/>
        <w:gridCol w:w="1559"/>
        <w:gridCol w:w="992"/>
      </w:tblGrid>
      <w:tr w:rsidR="001D522A" w:rsidRPr="005A14D2" w14:paraId="3ED77B1E" w14:textId="77777777" w:rsidTr="001F2C6A">
        <w:trPr>
          <w:trHeight w:val="196"/>
          <w:jc w:val="center"/>
        </w:trPr>
        <w:tc>
          <w:tcPr>
            <w:tcW w:w="641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F36FD" w14:textId="2F17184A" w:rsidR="001D522A" w:rsidRPr="00D36A4F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№</w:t>
            </w:r>
            <w:r w:rsidR="00D36A4F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р/н</w:t>
            </w:r>
          </w:p>
        </w:tc>
        <w:tc>
          <w:tcPr>
            <w:tcW w:w="488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CD7BE6" w14:textId="4365AAA5" w:rsidR="001D522A" w:rsidRPr="00D36A4F" w:rsidRDefault="00D36A4F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Критерий атауы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170749" w14:textId="3B8279D6" w:rsidR="001D522A" w:rsidRPr="005A14D2" w:rsidRDefault="00D36A4F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proofErr w:type="spellStart"/>
            <w:r w:rsidRPr="00D36A4F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Бағалау</w:t>
            </w:r>
            <w:proofErr w:type="spellEnd"/>
            <w:r w:rsidRPr="00D36A4F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D36A4F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деңгейі</w:t>
            </w:r>
            <w:proofErr w:type="spellEnd"/>
            <w:r w:rsidRPr="00D36A4F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 xml:space="preserve"> (балл)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7F6876" w14:textId="7326D143" w:rsidR="001D522A" w:rsidRPr="003B7A21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en-US"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МАХ</w:t>
            </w:r>
            <w:r w:rsidR="00D36A4F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 xml:space="preserve"> </w:t>
            </w:r>
            <w:r w:rsidR="00D36A4F" w:rsidRPr="00D36A4F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кезіндегі жиыны</w:t>
            </w:r>
          </w:p>
        </w:tc>
      </w:tr>
      <w:tr w:rsidR="001D522A" w:rsidRPr="005A14D2" w14:paraId="52BD1FC0" w14:textId="77777777" w:rsidTr="001F2C6A">
        <w:trPr>
          <w:trHeight w:val="19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9AF84D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883" w:type="dxa"/>
            <w:vMerge/>
            <w:shd w:val="clear" w:color="auto" w:fill="auto"/>
            <w:vAlign w:val="center"/>
            <w:hideMark/>
          </w:tcPr>
          <w:p w14:paraId="333489F9" w14:textId="77777777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9DF3CC" w14:textId="77777777" w:rsidR="001D522A" w:rsidRPr="005A14D2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МИН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9E8086" w14:textId="77777777" w:rsidR="001D522A" w:rsidRPr="005A14D2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МАХ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B55CFD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1D522A" w:rsidRPr="005A14D2" w14:paraId="235ADCB5" w14:textId="77777777" w:rsidTr="001F2C6A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77F609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267B01" w14:textId="2F638AE0" w:rsidR="001D522A" w:rsidRPr="005A14D2" w:rsidRDefault="003B7A21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ISO 9001 (сапа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менеджменті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жүйесіне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қойылатын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талаптарды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қамтитын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халықаралық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стандарт)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сертификатының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жеткізілім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немесе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оны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жаңарту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кезеңіне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қолданылу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мерзімімен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шарт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жасасу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сәтінде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өнім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берушінің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куәландырылған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мөрімен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сертификаттың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сертификаттардың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көшірмесін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растау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жолымен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49B6FF" w14:textId="0C5E3CE8" w:rsidR="001D522A" w:rsidRPr="005A14D2" w:rsidRDefault="003B7A21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FE221D" w14:textId="2F89F096" w:rsidR="001D522A" w:rsidRPr="005A14D2" w:rsidRDefault="003B7A21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5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6F8554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3B7A21" w:rsidRPr="005A14D2" w14:paraId="583F72EA" w14:textId="77777777" w:rsidTr="001F2C6A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D1C286" w14:textId="77777777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20866A" w14:textId="69E7912F" w:rsidR="003B7A21" w:rsidRPr="005A14D2" w:rsidRDefault="003B7A21" w:rsidP="003B7A2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ISO 14001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экологиялық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басқару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жүйесіне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қойылатын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талаптарды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қамтитын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халықаралық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стандарт)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сертификатының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жеткізілім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немесе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оны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жаңарту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кезеңіне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қолданылу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мерзімімен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шарт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жасасу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сәтінде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өнім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берушінің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куәландырылған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мөрімен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сертификаттың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сертификаттардың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көшірмесін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растау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жолымен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D1748A" w14:textId="0C292446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0986A" w14:textId="2A0DBBEE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5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9402E2" w14:textId="77777777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3B7A21" w:rsidRPr="005A14D2" w14:paraId="65C3E05D" w14:textId="77777777" w:rsidTr="001F2C6A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517978" w14:textId="5ECBBF5C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AD9981" w14:textId="607C3BF3" w:rsidR="003B7A21" w:rsidRPr="005A14D2" w:rsidRDefault="003B7A21" w:rsidP="003B7A2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OHSAS 18000/45001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өнеркәсіптік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қауіпсіздік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еңбекті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қорғау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менеджменті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жүйелерін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әзірлеуге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енгізуге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қойылатын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талаптар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мен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нұсқаулықтарды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қамтитын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стандарттар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сериясы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сертификатының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жеткізілім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кезеңіне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немесе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оның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қолданылу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мерзіміне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шарт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жасасу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сәтінде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өнім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берушінің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куәландырылған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мөрімен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сертификаттың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сертификаттардың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көшірмесін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растау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жолымен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болуы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жаңартулар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E6CA73" w14:textId="78F7D853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F1566D" w14:textId="578CF6DB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5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8D535D" w14:textId="63866C19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</w:tr>
      <w:tr w:rsidR="003B7A21" w:rsidRPr="005A14D2" w14:paraId="7E066617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8337DD" w14:textId="5A39E5FC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02D83A" w14:textId="1EE1634B" w:rsidR="003B7A21" w:rsidRPr="005A14D2" w:rsidRDefault="003B7A21" w:rsidP="003B7A2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Тапсырыс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беруші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өнім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беруші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келіскен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нысан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бойынша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растайтын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құжаттарды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ұсына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отырып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ағымдағы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жылы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қалдықтардың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жүн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мата,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түрлі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шығарындылар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т. б.)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есебін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жүргізу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2DF2B9" w14:textId="6F37247C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C59240" w14:textId="08F474EE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5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888295" w14:textId="77777777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3B7A21" w:rsidRPr="005A14D2" w14:paraId="5143D3DF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6A9C94" w14:textId="74A52BD8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05B69A" w14:textId="177D087D" w:rsidR="003B7A21" w:rsidRPr="005A14D2" w:rsidRDefault="003B7A21" w:rsidP="003B7A2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Ағымдағы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жылы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қызметкерлердің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еңбекті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қорғау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саласындағы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қызметкерлерді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қоспағанда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біліктілігін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арттыру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туралы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растау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келісімшарттардың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төлем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шоттарының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сертификаттардың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т. б.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болуы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3B0DCE" w14:textId="1A8E830B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8D8C33" w14:textId="5FEA6F53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5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85DCF" w14:textId="77777777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3B7A21" w:rsidRPr="005A14D2" w14:paraId="1B93AB95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23EDA6" w14:textId="4C7D3D0A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60D8C4" w14:textId="59FEFE9F" w:rsidR="003B7A21" w:rsidRPr="005A14D2" w:rsidRDefault="003B7A21" w:rsidP="003B7A2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Орнықты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даму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ESG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қағидаттары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бойынша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міндеттеме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саясатының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болуы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осы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бағыт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бойынша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ақпаратты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оның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ішінде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Компанияның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корпоративтік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сайтында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жылдық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есептерді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тиісті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орналастыру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689A6A" w14:textId="22FF4B43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8ABB9" w14:textId="3DCBFE66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5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E0C287" w14:textId="54C8B587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20</w:t>
            </w:r>
          </w:p>
        </w:tc>
      </w:tr>
      <w:tr w:rsidR="003B7A21" w:rsidRPr="005A14D2" w14:paraId="2EE91AFE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1512F" w14:textId="0D66058E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7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645219" w14:textId="3AC436AF" w:rsidR="003B7A21" w:rsidRPr="005A14D2" w:rsidRDefault="003B7A21" w:rsidP="003B7A2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Маманның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(</w:t>
            </w:r>
            <w:r>
              <w:rPr>
                <w:rFonts w:eastAsia="Calibri"/>
                <w:color w:val="000000" w:themeColor="text1"/>
                <w:szCs w:val="24"/>
                <w:lang w:val="kk-KZ" w:eastAsia="en-US"/>
              </w:rPr>
              <w:t>д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немесе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еңбекті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қорғау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жөніндегі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уәкілетті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қызметкердің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еңбекті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қорғау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жөніндегі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біліктілігін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арттыруды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/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білімін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тексеруді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растайтын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құжаттардың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AE7F53" w14:textId="74DF2031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7388A" w14:textId="520C6A3C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5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0F878" w14:textId="77777777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3B7A21" w:rsidRPr="005A14D2" w14:paraId="310512DB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BBD3B" w14:textId="2AB11854" w:rsidR="003B7A21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762F8" w14:textId="496084E0" w:rsidR="003B7A21" w:rsidRPr="005A14D2" w:rsidRDefault="003B7A21" w:rsidP="003B7A2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Алдыңғы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жылмен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салыстырғанда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ағымдағы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жылы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салық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аударымдарын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(КТС)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ұлғайту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(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уәкілетті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органның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екі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жылдағы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нысаны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бойынша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салық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аударымдары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туралы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анықтама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).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1C722D" w14:textId="274D222D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Болмаған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0 балл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4F705" w14:textId="2D77EB8F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Болған</w:t>
            </w:r>
            <w:proofErr w:type="spellEnd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>жағдайда</w:t>
            </w:r>
            <w:proofErr w:type="spellEnd"/>
            <w:r>
              <w:rPr>
                <w:rFonts w:eastAsia="Calibri"/>
                <w:color w:val="000000" w:themeColor="text1"/>
                <w:szCs w:val="24"/>
                <w:lang w:val="kk-KZ" w:eastAsia="en-US"/>
              </w:rPr>
              <w:t>10</w:t>
            </w:r>
            <w:r w:rsidRPr="003B7A2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балл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57060" w14:textId="2B3F3CFF" w:rsidR="003B7A21" w:rsidRPr="005A14D2" w:rsidRDefault="003B7A21" w:rsidP="003B7A2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</w:tr>
      <w:tr w:rsidR="001D522A" w:rsidRPr="005A14D2" w14:paraId="69D608E6" w14:textId="77777777" w:rsidTr="001F2C6A">
        <w:trPr>
          <w:trHeight w:val="196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D3E71" w14:textId="77777777" w:rsidR="001D522A" w:rsidRPr="005A14D2" w:rsidRDefault="001D522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11496B" w14:textId="2E4CFB00" w:rsidR="001D522A" w:rsidRPr="003B7A21" w:rsidRDefault="003B7A21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БАРЛЫҒЫ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3A7BF0" w14:textId="77777777" w:rsidR="001D522A" w:rsidRPr="005A14D2" w:rsidRDefault="001D522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19FDF" w14:textId="77777777" w:rsidR="001D522A" w:rsidRPr="005A14D2" w:rsidRDefault="001D522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4F0740" w14:textId="4197BB22" w:rsidR="001D522A" w:rsidRPr="005A14D2" w:rsidRDefault="005A14D2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65</w:t>
            </w:r>
          </w:p>
        </w:tc>
      </w:tr>
    </w:tbl>
    <w:p w14:paraId="49C62C40" w14:textId="77777777" w:rsidR="001D522A" w:rsidRPr="005A14D2" w:rsidRDefault="001D522A" w:rsidP="001D522A">
      <w:pPr>
        <w:jc w:val="right"/>
        <w:rPr>
          <w:rFonts w:eastAsia="Calibri"/>
          <w:color w:val="000000" w:themeColor="text1"/>
          <w:szCs w:val="24"/>
          <w:lang w:eastAsia="en-US"/>
        </w:rPr>
      </w:pPr>
    </w:p>
    <w:p w14:paraId="2FA09678" w14:textId="16D6709A" w:rsidR="001D522A" w:rsidRDefault="001D522A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BAA74A6" w14:textId="1549E0B2" w:rsidR="003B7A21" w:rsidRDefault="003B7A21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4E3DBEB7" w14:textId="31CA5935" w:rsidR="003B7A21" w:rsidRDefault="003B7A21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ACD2138" w14:textId="6A802873" w:rsidR="003B7A21" w:rsidRDefault="003B7A21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519CAC14" w14:textId="77777777" w:rsidR="003B7A21" w:rsidRPr="005A14D2" w:rsidRDefault="003B7A21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18AAA9D" w14:textId="23708114" w:rsidR="00F44585" w:rsidRPr="005A14D2" w:rsidRDefault="001D522A" w:rsidP="001D522A">
      <w:pPr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lastRenderedPageBreak/>
        <w:t xml:space="preserve">КПД № </w:t>
      </w:r>
      <w:r w:rsidR="001F2C6A" w:rsidRPr="005A14D2">
        <w:rPr>
          <w:rFonts w:eastAsia="Calibri"/>
          <w:b/>
          <w:color w:val="000000" w:themeColor="text1"/>
          <w:szCs w:val="24"/>
          <w:lang w:eastAsia="en-US"/>
        </w:rPr>
        <w:t xml:space="preserve">5 </w:t>
      </w:r>
      <w:proofErr w:type="spellStart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>Жергілікті</w:t>
      </w:r>
      <w:proofErr w:type="spellEnd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>қамту</w:t>
      </w:r>
      <w:proofErr w:type="spellEnd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>үлесінің</w:t>
      </w:r>
      <w:proofErr w:type="spellEnd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>орындалу</w:t>
      </w:r>
      <w:proofErr w:type="spellEnd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3B7A21" w:rsidRPr="003B7A21">
        <w:rPr>
          <w:rFonts w:eastAsia="Calibri"/>
          <w:b/>
          <w:color w:val="000000" w:themeColor="text1"/>
          <w:szCs w:val="24"/>
          <w:lang w:eastAsia="en-US"/>
        </w:rPr>
        <w:t>коэффициенті</w:t>
      </w:r>
      <w:proofErr w:type="spellEnd"/>
      <w:r w:rsidR="00F44585" w:rsidRPr="005A14D2">
        <w:rPr>
          <w:rFonts w:eastAsia="Calibri"/>
          <w:b/>
          <w:color w:val="000000" w:themeColor="text1"/>
          <w:szCs w:val="24"/>
          <w:lang w:eastAsia="en-US"/>
        </w:rPr>
        <w:t xml:space="preserve"> (</w:t>
      </w:r>
      <w:r w:rsidR="003B7A21">
        <w:rPr>
          <w:rFonts w:eastAsia="Calibri"/>
          <w:b/>
          <w:color w:val="000000" w:themeColor="text1"/>
          <w:szCs w:val="24"/>
          <w:lang w:val="kk-KZ" w:eastAsia="en-US"/>
        </w:rPr>
        <w:t>ЖҚҮК</w:t>
      </w:r>
      <w:r w:rsidR="00F44585" w:rsidRPr="005A14D2">
        <w:rPr>
          <w:rFonts w:eastAsia="Calibri"/>
          <w:b/>
          <w:color w:val="000000" w:themeColor="text1"/>
          <w:szCs w:val="24"/>
          <w:lang w:eastAsia="en-US"/>
        </w:rPr>
        <w:t>)</w:t>
      </w:r>
    </w:p>
    <w:p w14:paraId="2FC00D12" w14:textId="77777777" w:rsidR="00F44585" w:rsidRPr="005A14D2" w:rsidRDefault="00F44585" w:rsidP="006A3E51">
      <w:pPr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i/>
          <w:iCs/>
          <w:color w:val="000000" w:themeColor="text1"/>
          <w:szCs w:val="24"/>
          <w:lang w:eastAsia="en-US"/>
        </w:rPr>
        <w:t xml:space="preserve">       </w:t>
      </w:r>
    </w:p>
    <w:p w14:paraId="39E3E3FE" w14:textId="6CF5974A" w:rsidR="001F2C6A" w:rsidRPr="005A14D2" w:rsidRDefault="003B7A21" w:rsidP="001F2C6A">
      <w:pPr>
        <w:jc w:val="center"/>
        <w:rPr>
          <w:rFonts w:eastAsia="Calibri"/>
          <w:color w:val="000000" w:themeColor="text1"/>
          <w:szCs w:val="24"/>
          <w:lang w:eastAsia="en-US"/>
        </w:rPr>
      </w:pPr>
      <w:r w:rsidRPr="003B7A21">
        <w:rPr>
          <w:rFonts w:eastAsia="Calibri"/>
          <w:color w:val="000000" w:themeColor="text1"/>
          <w:szCs w:val="24"/>
          <w:lang w:eastAsia="en-US"/>
        </w:rPr>
        <w:t xml:space="preserve">ЖҚҮК </w:t>
      </w:r>
      <w:r w:rsidR="001F2C6A" w:rsidRPr="005A14D2">
        <w:rPr>
          <w:rFonts w:eastAsia="Calibri"/>
          <w:color w:val="000000" w:themeColor="text1"/>
          <w:szCs w:val="24"/>
          <w:lang w:eastAsia="en-US"/>
        </w:rPr>
        <w:t xml:space="preserve">= </w:t>
      </w:r>
      <w:r>
        <w:rPr>
          <w:rFonts w:eastAsia="Calibri"/>
          <w:color w:val="000000" w:themeColor="text1"/>
          <w:szCs w:val="24"/>
          <w:lang w:val="kk-KZ" w:eastAsia="en-US"/>
        </w:rPr>
        <w:t>ЖҚҮ</w:t>
      </w:r>
      <w:r w:rsidR="001F2C6A" w:rsidRPr="005A14D2">
        <w:rPr>
          <w:rFonts w:eastAsia="Calibri"/>
          <w:color w:val="000000" w:themeColor="text1"/>
          <w:szCs w:val="24"/>
          <w:lang w:eastAsia="en-US"/>
        </w:rPr>
        <w:t>.</w:t>
      </w:r>
    </w:p>
    <w:p w14:paraId="76AE538C" w14:textId="0A789050" w:rsidR="001F2C6A" w:rsidRPr="003B7A21" w:rsidRDefault="003B7A21" w:rsidP="001F2C6A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r>
        <w:rPr>
          <w:rFonts w:eastAsia="Calibri"/>
          <w:color w:val="000000" w:themeColor="text1"/>
          <w:szCs w:val="24"/>
          <w:lang w:val="kk-KZ" w:eastAsia="en-US"/>
        </w:rPr>
        <w:t>мұндағы:</w:t>
      </w:r>
    </w:p>
    <w:p w14:paraId="3E7B1AD1" w14:textId="3D60AC07" w:rsidR="001F2C6A" w:rsidRPr="003B7A21" w:rsidRDefault="003B7A21" w:rsidP="001F2C6A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r>
        <w:rPr>
          <w:rFonts w:eastAsia="Calibri"/>
          <w:color w:val="000000" w:themeColor="text1"/>
          <w:szCs w:val="24"/>
          <w:lang w:val="kk-KZ" w:eastAsia="en-US"/>
        </w:rPr>
        <w:t xml:space="preserve">ЖҚҮ – </w:t>
      </w:r>
      <w:r w:rsidRPr="003B7A21">
        <w:rPr>
          <w:rFonts w:eastAsia="Calibri"/>
          <w:color w:val="000000" w:themeColor="text1"/>
          <w:szCs w:val="24"/>
          <w:lang w:val="kk-KZ" w:eastAsia="en-US"/>
        </w:rPr>
        <w:t>СТ-КЗ сертификатына сәйкес жергілікті қамту үлесінің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3B7A21">
        <w:rPr>
          <w:rFonts w:eastAsia="Calibri"/>
          <w:color w:val="000000" w:themeColor="text1"/>
          <w:szCs w:val="24"/>
          <w:lang w:val="kk-KZ" w:eastAsia="en-US"/>
        </w:rPr>
        <w:t>мәні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, </w:t>
      </w:r>
      <w:r w:rsidRPr="003B7A21">
        <w:rPr>
          <w:rFonts w:eastAsia="Calibri"/>
          <w:color w:val="000000" w:themeColor="text1"/>
          <w:szCs w:val="24"/>
          <w:lang w:val="kk-KZ" w:eastAsia="en-US"/>
        </w:rPr>
        <w:t>%</w:t>
      </w:r>
      <w:r>
        <w:rPr>
          <w:rFonts w:eastAsia="Calibri"/>
          <w:color w:val="000000" w:themeColor="text1"/>
          <w:szCs w:val="24"/>
          <w:lang w:val="kk-KZ" w:eastAsia="en-US"/>
        </w:rPr>
        <w:t>-бен</w:t>
      </w:r>
    </w:p>
    <w:p w14:paraId="1A95D9DC" w14:textId="77777777" w:rsidR="003B7A21" w:rsidRPr="003B7A21" w:rsidRDefault="003B7A21" w:rsidP="001F2C6A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</w:p>
    <w:p w14:paraId="4CC718B9" w14:textId="2916F5FD" w:rsidR="001F2C6A" w:rsidRDefault="003B7A21" w:rsidP="001F2C6A">
      <w:pPr>
        <w:jc w:val="center"/>
        <w:rPr>
          <w:rFonts w:eastAsia="Calibri"/>
          <w:color w:val="000000" w:themeColor="text1"/>
          <w:szCs w:val="24"/>
          <w:lang w:val="kk-KZ" w:eastAsia="en-US"/>
        </w:rPr>
      </w:pPr>
      <w:r w:rsidRPr="003B7A21">
        <w:rPr>
          <w:rFonts w:eastAsia="Calibri"/>
          <w:color w:val="000000" w:themeColor="text1"/>
          <w:szCs w:val="24"/>
          <w:lang w:val="kk-KZ" w:eastAsia="en-US"/>
        </w:rPr>
        <w:t>Шарт бойынша жергілікті қамтудың әртүрлі үлесі бар тауардың бір түрінен артық жеткізілген жағдайда орташа өлшенген көрсеткіш есепке алынады:</w:t>
      </w:r>
    </w:p>
    <w:p w14:paraId="70E7BC8B" w14:textId="77777777" w:rsidR="003B7A21" w:rsidRPr="003B7A21" w:rsidRDefault="003B7A21" w:rsidP="001F2C6A">
      <w:pPr>
        <w:jc w:val="center"/>
        <w:rPr>
          <w:rFonts w:eastAsia="Calibri"/>
          <w:color w:val="000000" w:themeColor="text1"/>
          <w:szCs w:val="24"/>
          <w:lang w:val="kk-KZ" w:eastAsia="en-US"/>
        </w:rPr>
      </w:pPr>
    </w:p>
    <w:p w14:paraId="7568F455" w14:textId="2BCD652C" w:rsidR="001F2C6A" w:rsidRDefault="003B7A21" w:rsidP="001F2C6A">
      <w:pPr>
        <w:jc w:val="center"/>
        <w:rPr>
          <w:rFonts w:eastAsia="Calibri"/>
          <w:color w:val="000000" w:themeColor="text1"/>
          <w:szCs w:val="24"/>
          <w:lang w:val="kk-KZ" w:eastAsia="en-US"/>
        </w:rPr>
      </w:pPr>
      <w:r w:rsidRPr="003B7A21">
        <w:rPr>
          <w:rFonts w:eastAsia="Calibri"/>
          <w:color w:val="000000" w:themeColor="text1"/>
          <w:szCs w:val="24"/>
          <w:lang w:val="kk-KZ" w:eastAsia="en-US"/>
        </w:rPr>
        <w:t xml:space="preserve">ЖҚҮК 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= (V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>1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*</w:t>
      </w:r>
      <w:r w:rsidRPr="003B7A21">
        <w:rPr>
          <w:lang w:val="kk-KZ"/>
        </w:rPr>
        <w:t xml:space="preserve"> </w:t>
      </w:r>
      <w:r w:rsidRPr="003B7A21">
        <w:rPr>
          <w:rFonts w:eastAsia="Calibri"/>
          <w:color w:val="000000" w:themeColor="text1"/>
          <w:szCs w:val="24"/>
          <w:lang w:val="kk-KZ" w:eastAsia="en-US"/>
        </w:rPr>
        <w:t xml:space="preserve">ЖҚҮ 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 xml:space="preserve">1 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+V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>2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*</w:t>
      </w:r>
      <w:r w:rsidRPr="003B7A21">
        <w:rPr>
          <w:lang w:val="kk-KZ"/>
        </w:rPr>
        <w:t xml:space="preserve"> </w:t>
      </w:r>
      <w:r w:rsidRPr="003B7A21">
        <w:rPr>
          <w:rFonts w:eastAsia="Calibri"/>
          <w:color w:val="000000" w:themeColor="text1"/>
          <w:szCs w:val="24"/>
          <w:lang w:val="kk-KZ" w:eastAsia="en-US"/>
        </w:rPr>
        <w:t xml:space="preserve">ЖҚҮ 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 xml:space="preserve">2 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+….+V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>n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*</w:t>
      </w:r>
      <w:r w:rsidRPr="003B7A21">
        <w:rPr>
          <w:lang w:val="kk-KZ"/>
        </w:rPr>
        <w:t xml:space="preserve"> </w:t>
      </w:r>
      <w:r w:rsidRPr="003B7A21">
        <w:rPr>
          <w:rFonts w:eastAsia="Calibri"/>
          <w:color w:val="000000" w:themeColor="text1"/>
          <w:szCs w:val="24"/>
          <w:lang w:val="kk-KZ" w:eastAsia="en-US"/>
        </w:rPr>
        <w:t xml:space="preserve">ЖҚҮ 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>n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)/(V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>1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+V</w:t>
      </w:r>
      <w:r w:rsidR="001F2C6A" w:rsidRPr="003B7A21">
        <w:rPr>
          <w:rFonts w:eastAsia="Calibri"/>
          <w:color w:val="000000" w:themeColor="text1"/>
          <w:szCs w:val="24"/>
          <w:vertAlign w:val="subscript"/>
          <w:lang w:val="kk-KZ" w:eastAsia="en-US"/>
        </w:rPr>
        <w:t xml:space="preserve">2 </w:t>
      </w:r>
      <w:r w:rsidR="001F2C6A" w:rsidRPr="003B7A21">
        <w:rPr>
          <w:rFonts w:eastAsia="Calibri"/>
          <w:color w:val="000000" w:themeColor="text1"/>
          <w:szCs w:val="24"/>
          <w:lang w:val="kk-KZ" w:eastAsia="en-US"/>
        </w:rPr>
        <w:t>+….+V)</w:t>
      </w:r>
    </w:p>
    <w:p w14:paraId="01AF0EAC" w14:textId="565CF9EC" w:rsidR="003B7A21" w:rsidRPr="003B7A21" w:rsidRDefault="003B7A21" w:rsidP="003B7A21">
      <w:pPr>
        <w:rPr>
          <w:rFonts w:eastAsia="Calibri"/>
          <w:color w:val="000000" w:themeColor="text1"/>
          <w:szCs w:val="24"/>
          <w:lang w:val="kk-KZ" w:eastAsia="en-US"/>
        </w:rPr>
      </w:pPr>
      <w:r>
        <w:rPr>
          <w:rFonts w:eastAsia="Calibri"/>
          <w:color w:val="000000" w:themeColor="text1"/>
          <w:szCs w:val="24"/>
          <w:lang w:val="kk-KZ" w:eastAsia="en-US"/>
        </w:rPr>
        <w:t>мұндағы:</w:t>
      </w:r>
    </w:p>
    <w:p w14:paraId="73136B66" w14:textId="4882B7EB" w:rsidR="003B7A21" w:rsidRPr="003B7A21" w:rsidRDefault="003B7A21" w:rsidP="003B7A21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3B7A21">
        <w:rPr>
          <w:rFonts w:eastAsia="Calibri"/>
          <w:color w:val="000000" w:themeColor="text1"/>
          <w:szCs w:val="24"/>
          <w:lang w:val="kk-KZ" w:eastAsia="en-US"/>
        </w:rPr>
        <w:t>V</w:t>
      </w:r>
      <w:r w:rsidR="008A01D6" w:rsidRPr="008A01D6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8A01D6">
        <w:rPr>
          <w:rFonts w:eastAsia="Calibri"/>
          <w:color w:val="000000" w:themeColor="text1"/>
          <w:szCs w:val="24"/>
          <w:lang w:val="kk-KZ" w:eastAsia="en-US"/>
        </w:rPr>
        <w:t>–</w:t>
      </w:r>
      <w:r w:rsidR="008A01D6" w:rsidRPr="008A01D6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3B7A21">
        <w:rPr>
          <w:rFonts w:eastAsia="Calibri"/>
          <w:color w:val="000000" w:themeColor="text1"/>
          <w:szCs w:val="24"/>
          <w:lang w:val="kk-KZ" w:eastAsia="en-US"/>
        </w:rPr>
        <w:t>СТ-КЗ сертификаттары бөлінісінде кіші санат бойынша сатып алу көлемі;</w:t>
      </w:r>
    </w:p>
    <w:p w14:paraId="19E647E6" w14:textId="33B4E08A" w:rsidR="00994D83" w:rsidRPr="003B7A21" w:rsidRDefault="008A01D6" w:rsidP="003B7A21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8A01D6">
        <w:rPr>
          <w:rFonts w:eastAsia="Calibri"/>
          <w:color w:val="000000" w:themeColor="text1"/>
          <w:szCs w:val="24"/>
          <w:lang w:val="kk-KZ" w:eastAsia="en-US"/>
        </w:rPr>
        <w:t xml:space="preserve">n </w:t>
      </w:r>
      <w:r>
        <w:rPr>
          <w:rFonts w:eastAsia="Calibri"/>
          <w:color w:val="000000" w:themeColor="text1"/>
          <w:szCs w:val="24"/>
          <w:lang w:val="kk-KZ" w:eastAsia="en-US"/>
        </w:rPr>
        <w:t>–</w:t>
      </w:r>
      <w:r w:rsidRPr="008A01D6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3B7A21" w:rsidRPr="003B7A21">
        <w:rPr>
          <w:rFonts w:eastAsia="Calibri"/>
          <w:color w:val="000000" w:themeColor="text1"/>
          <w:szCs w:val="24"/>
          <w:lang w:val="kk-KZ" w:eastAsia="en-US"/>
        </w:rPr>
        <w:t>жергілікті қамту үлесі бойынша мәндердің саны және олардың есептік кезеңдегі көлемдегі мәндері.</w:t>
      </w:r>
    </w:p>
    <w:p w14:paraId="5BACAD03" w14:textId="0A06C8C4" w:rsidR="008A01D6" w:rsidRDefault="008A01D6" w:rsidP="001F2C6A">
      <w:pPr>
        <w:ind w:firstLine="567"/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8A01D6">
        <w:rPr>
          <w:rFonts w:eastAsia="Calibri"/>
          <w:color w:val="000000" w:themeColor="text1"/>
          <w:szCs w:val="24"/>
          <w:lang w:val="kk-KZ" w:eastAsia="en-US"/>
        </w:rPr>
        <w:t xml:space="preserve">Өнім беруші шарттың талаптарына сәйкес Тапсырыс берушіге шарттың қолданылу мерзімі аяқталатын күнге дейін 60 күнтізбелік күннен кешіктірмей жоғарыда көрсетілген </w:t>
      </w:r>
      <w:r>
        <w:rPr>
          <w:rFonts w:eastAsia="Calibri"/>
          <w:color w:val="000000" w:themeColor="text1"/>
          <w:szCs w:val="24"/>
          <w:lang w:val="kk-KZ" w:eastAsia="en-US"/>
        </w:rPr>
        <w:t>ҚТК-ның</w:t>
      </w:r>
      <w:r w:rsidRPr="008A01D6">
        <w:rPr>
          <w:rFonts w:eastAsia="Calibri"/>
          <w:color w:val="000000" w:themeColor="text1"/>
          <w:szCs w:val="24"/>
          <w:lang w:val="kk-KZ" w:eastAsia="en-US"/>
        </w:rPr>
        <w:t xml:space="preserve"> орындалуы туралы есеп береді;</w:t>
      </w:r>
    </w:p>
    <w:p w14:paraId="7FB68CCA" w14:textId="4015F04A" w:rsidR="008A01D6" w:rsidRDefault="008A01D6" w:rsidP="006A3E51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8A01D6">
        <w:rPr>
          <w:rFonts w:eastAsia="Calibri"/>
          <w:color w:val="000000" w:themeColor="text1"/>
          <w:szCs w:val="24"/>
          <w:lang w:val="kk-KZ" w:eastAsia="en-US"/>
        </w:rPr>
        <w:t>Тапсырыс беруші әлеуетті өнім берушілердің объектілеріне сатып алу категориялық тобы</w:t>
      </w:r>
      <w:r>
        <w:rPr>
          <w:rFonts w:eastAsia="Calibri"/>
          <w:color w:val="000000" w:themeColor="text1"/>
          <w:szCs w:val="24"/>
          <w:lang w:val="kk-KZ" w:eastAsia="en-US"/>
        </w:rPr>
        <w:t>ның</w:t>
      </w:r>
      <w:r w:rsidRPr="008A01D6">
        <w:rPr>
          <w:rFonts w:eastAsia="Calibri"/>
          <w:color w:val="000000" w:themeColor="text1"/>
          <w:szCs w:val="24"/>
          <w:lang w:val="kk-KZ" w:eastAsia="en-US"/>
        </w:rPr>
        <w:t xml:space="preserve"> (СКТ)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8A01D6">
        <w:rPr>
          <w:rFonts w:eastAsia="Calibri"/>
          <w:color w:val="000000" w:themeColor="text1"/>
          <w:szCs w:val="24"/>
          <w:lang w:val="kk-KZ" w:eastAsia="en-US"/>
        </w:rPr>
        <w:t>мүшелерімен бірлесіп Қ</w:t>
      </w:r>
      <w:r>
        <w:rPr>
          <w:rFonts w:eastAsia="Calibri"/>
          <w:color w:val="000000" w:themeColor="text1"/>
          <w:szCs w:val="24"/>
          <w:lang w:val="kk-KZ" w:eastAsia="en-US"/>
        </w:rPr>
        <w:t>Т</w:t>
      </w:r>
      <w:r w:rsidRPr="008A01D6">
        <w:rPr>
          <w:rFonts w:eastAsia="Calibri"/>
          <w:color w:val="000000" w:themeColor="text1"/>
          <w:szCs w:val="24"/>
          <w:lang w:val="kk-KZ" w:eastAsia="en-US"/>
        </w:rPr>
        <w:t>К өлшем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Pr="008A01D6">
        <w:rPr>
          <w:rFonts w:eastAsia="Calibri"/>
          <w:color w:val="000000" w:themeColor="text1"/>
          <w:szCs w:val="24"/>
          <w:lang w:val="kk-KZ" w:eastAsia="en-US"/>
        </w:rPr>
        <w:t>шарттарына сәйкестігі тұрғысынан шығуға бастамашылық жасауға құқылы.</w:t>
      </w:r>
    </w:p>
    <w:p w14:paraId="7DC71321" w14:textId="77777777" w:rsidR="008A01D6" w:rsidRPr="003A7220" w:rsidRDefault="008A01D6" w:rsidP="008A01D6">
      <w:pPr>
        <w:ind w:firstLine="708"/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3A7220">
        <w:rPr>
          <w:rFonts w:eastAsia="Calibri"/>
          <w:b/>
          <w:iCs/>
          <w:color w:val="000000" w:themeColor="text1"/>
          <w:szCs w:val="24"/>
          <w:lang w:val="kk-KZ" w:eastAsia="en-US"/>
        </w:rPr>
        <w:t>Егер Өнім берушіні бағалау нәтижелері бойынша қорытынды баллдар мынадай көрсеткіштерге баламалы болған жағдайда:</w:t>
      </w:r>
    </w:p>
    <w:p w14:paraId="1FC03A21" w14:textId="6D304EF7" w:rsidR="005A14D2" w:rsidRPr="003A7220" w:rsidRDefault="008A01D6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val="kk-KZ" w:eastAsia="en-US"/>
        </w:rPr>
      </w:pPr>
      <w:r w:rsidRPr="003A7220">
        <w:rPr>
          <w:rFonts w:eastAsia="Calibri"/>
          <w:color w:val="000000" w:themeColor="text1"/>
          <w:szCs w:val="24"/>
          <w:lang w:val="kk-KZ" w:eastAsia="en-US"/>
        </w:rPr>
        <w:t>1. Бал</w:t>
      </w:r>
      <w:r>
        <w:rPr>
          <w:rFonts w:eastAsia="Calibri"/>
          <w:color w:val="000000" w:themeColor="text1"/>
          <w:szCs w:val="24"/>
          <w:lang w:val="kk-KZ" w:eastAsia="en-US"/>
        </w:rPr>
        <w:t>л</w:t>
      </w:r>
      <w:r w:rsidRPr="003A7220">
        <w:rPr>
          <w:rFonts w:eastAsia="Calibri"/>
          <w:color w:val="000000" w:themeColor="text1"/>
          <w:szCs w:val="24"/>
          <w:lang w:val="kk-KZ" w:eastAsia="en-US"/>
        </w:rPr>
        <w:t>дарды есептеу бойынша қорытынды ≥85% (Шарттың қолданылу мерзімі аяқталғанға дейін бір жыл ішінде) - Қызметтің түйінді көрсеткіштерінің осы шекті қорытынды мәнін орындау кезінде Тапсырыс беруші шартты ұзартуға міндетті. Бұл ретте Өнім берушінің Өнім берушімен қолданыстағы шарт талаптарымен (оның ішінде бағалар өзгермеген жағдайда) 1 жыл мерзімге қосымша келісімге қол қою жолымен жеткізудің қосымша көлемін алуға құқығы бар;</w:t>
      </w:r>
    </w:p>
    <w:p w14:paraId="2C82CFE4" w14:textId="41362E4E" w:rsidR="005A14D2" w:rsidRPr="005A14D2" w:rsidRDefault="008A01D6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8A01D6">
        <w:rPr>
          <w:rFonts w:eastAsia="Calibri"/>
          <w:color w:val="000000" w:themeColor="text1"/>
          <w:szCs w:val="24"/>
          <w:lang w:eastAsia="en-US"/>
        </w:rPr>
        <w:t>65% ≤ Бал</w:t>
      </w:r>
      <w:r>
        <w:rPr>
          <w:rFonts w:eastAsia="Calibri"/>
          <w:color w:val="000000" w:themeColor="text1"/>
          <w:szCs w:val="24"/>
          <w:lang w:val="kk-KZ" w:eastAsia="en-US"/>
        </w:rPr>
        <w:t>л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дарды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есептеу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қорытынды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gramStart"/>
      <w:r w:rsidRPr="008A01D6">
        <w:rPr>
          <w:rFonts w:eastAsia="Calibri"/>
          <w:color w:val="000000" w:themeColor="text1"/>
          <w:szCs w:val="24"/>
          <w:lang w:eastAsia="en-US"/>
        </w:rPr>
        <w:t>&lt; 85</w:t>
      </w:r>
      <w:proofErr w:type="gramEnd"/>
      <w:r w:rsidRPr="008A01D6">
        <w:rPr>
          <w:rFonts w:eastAsia="Calibri"/>
          <w:color w:val="000000" w:themeColor="text1"/>
          <w:szCs w:val="24"/>
          <w:lang w:eastAsia="en-US"/>
        </w:rPr>
        <w:t xml:space="preserve">% -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Өнім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беруші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есепті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кезеңде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жеткізілген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Тауар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сомасының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3% -ы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мөлшерінде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біржолғы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айыппұл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төлейді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>;</w:t>
      </w:r>
    </w:p>
    <w:p w14:paraId="316E37BE" w14:textId="416052D8" w:rsidR="005A14D2" w:rsidRDefault="008A01D6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8A01D6">
        <w:rPr>
          <w:rFonts w:eastAsia="Calibri"/>
          <w:color w:val="000000" w:themeColor="text1"/>
          <w:szCs w:val="24"/>
          <w:lang w:eastAsia="en-US"/>
        </w:rPr>
        <w:t xml:space="preserve">50% ≤ Балл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есебі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қорытынды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&lt; 65% -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Жеткізуші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есепті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кезеңде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жеткізілген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Тауарлар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сомасының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5% -ы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мөлшерінде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біржолғы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айыппұл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8A01D6">
        <w:rPr>
          <w:rFonts w:eastAsia="Calibri"/>
          <w:color w:val="000000" w:themeColor="text1"/>
          <w:szCs w:val="24"/>
          <w:lang w:eastAsia="en-US"/>
        </w:rPr>
        <w:t>төлейді</w:t>
      </w:r>
      <w:proofErr w:type="spellEnd"/>
      <w:r w:rsidRPr="008A01D6">
        <w:rPr>
          <w:rFonts w:eastAsia="Calibri"/>
          <w:color w:val="000000" w:themeColor="text1"/>
          <w:szCs w:val="24"/>
          <w:lang w:eastAsia="en-US"/>
        </w:rPr>
        <w:t>;</w:t>
      </w:r>
    </w:p>
    <w:p w14:paraId="2757109F" w14:textId="323D730D" w:rsidR="00F3233A" w:rsidRPr="005A14D2" w:rsidRDefault="00F3233A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Баллдар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есептеу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қорытынды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gramStart"/>
      <w:r w:rsidRPr="00F3233A">
        <w:rPr>
          <w:rFonts w:eastAsia="Calibri"/>
          <w:color w:val="000000" w:themeColor="text1"/>
          <w:szCs w:val="24"/>
          <w:lang w:eastAsia="en-US"/>
        </w:rPr>
        <w:t>&lt; 50</w:t>
      </w:r>
      <w:proofErr w:type="gramEnd"/>
      <w:r w:rsidRPr="00F3233A">
        <w:rPr>
          <w:rFonts w:eastAsia="Calibri"/>
          <w:color w:val="000000" w:themeColor="text1"/>
          <w:szCs w:val="24"/>
          <w:lang w:eastAsia="en-US"/>
        </w:rPr>
        <w:t xml:space="preserve">%.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Шарттың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қолданылу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мерзімі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ішінде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50% - дан кем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балдарды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есептеу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кезінде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Өнім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беруші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есепті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кезеңде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жеткізілген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тауарлар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сомасының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10%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мөлшерінде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біржолғы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айыппұл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төлейді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және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Тапсырыс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берушінің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Қордың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сенімсіз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әлеуетті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өнім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берушілерінің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(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өнім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берушілерінің</w:t>
      </w:r>
      <w:proofErr w:type="spellEnd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 xml:space="preserve">) </w:t>
      </w:r>
      <w:proofErr w:type="spellStart"/>
      <w:r w:rsidRPr="00F3233A">
        <w:rPr>
          <w:rFonts w:eastAsia="Calibri"/>
          <w:b/>
          <w:bCs/>
          <w:color w:val="000000" w:themeColor="text1"/>
          <w:szCs w:val="24"/>
          <w:lang w:eastAsia="en-US"/>
        </w:rPr>
        <w:t>тізіміне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өнім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берушіні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тәртіпке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сәйкес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(осы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негіз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тәртіппен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болған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жағдайда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)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енгізуге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құқығы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бар.</w:t>
      </w:r>
    </w:p>
    <w:p w14:paraId="2AFFD580" w14:textId="4A1CEE88" w:rsidR="005A14D2" w:rsidRPr="005A14D2" w:rsidRDefault="00F3233A" w:rsidP="005A14D2">
      <w:pPr>
        <w:numPr>
          <w:ilvl w:val="0"/>
          <w:numId w:val="14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val="kk-KZ" w:eastAsia="en-US"/>
        </w:rPr>
        <w:t xml:space="preserve">ЖҚҮ тауарға </w:t>
      </w:r>
      <w:r w:rsidRPr="00F3233A">
        <w:rPr>
          <w:rFonts w:eastAsia="Calibri"/>
          <w:color w:val="000000" w:themeColor="text1"/>
          <w:szCs w:val="24"/>
          <w:lang w:val="kk-KZ" w:eastAsia="en-US"/>
        </w:rPr>
        <w:t>үлесі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– </w:t>
      </w:r>
      <w:r w:rsidRPr="00F3233A">
        <w:rPr>
          <w:rFonts w:eastAsia="Calibri"/>
          <w:color w:val="000000" w:themeColor="text1"/>
          <w:szCs w:val="24"/>
          <w:lang w:val="kk-KZ" w:eastAsia="en-US"/>
        </w:rPr>
        <w:t>дайын өнімді дайындау және жеткізу кезінде жергілікті өндірушінің шикізатын (матасын, фурнитурасын) пайдалану мәнін көрсетеді.</w:t>
      </w:r>
    </w:p>
    <w:p w14:paraId="33AE4BD1" w14:textId="3AE46D8C" w:rsidR="005A14D2" w:rsidRPr="005A14D2" w:rsidRDefault="00F3233A" w:rsidP="005A14D2">
      <w:pPr>
        <w:numPr>
          <w:ilvl w:val="0"/>
          <w:numId w:val="14"/>
        </w:numPr>
        <w:jc w:val="both"/>
        <w:rPr>
          <w:rFonts w:eastAsia="Calibri"/>
          <w:b/>
          <w:bCs/>
          <w:color w:val="000000" w:themeColor="text1"/>
          <w:szCs w:val="24"/>
          <w:lang w:eastAsia="en-US"/>
        </w:rPr>
      </w:pPr>
      <w:r w:rsidRPr="00F3233A">
        <w:rPr>
          <w:rFonts w:eastAsia="Calibri"/>
          <w:color w:val="000000" w:themeColor="text1"/>
          <w:szCs w:val="24"/>
          <w:lang w:eastAsia="en-US"/>
        </w:rPr>
        <w:t>* ЕТ</w:t>
      </w:r>
      <w:r>
        <w:rPr>
          <w:rFonts w:eastAsia="Calibri"/>
          <w:color w:val="000000" w:themeColor="text1"/>
          <w:szCs w:val="24"/>
          <w:lang w:val="kk-KZ" w:eastAsia="en-US"/>
        </w:rPr>
        <w:t>Қ</w:t>
      </w:r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өнім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берушімен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өзара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келісім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val="kk-KZ" w:eastAsia="en-US"/>
        </w:rPr>
        <w:t>және</w:t>
      </w:r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val="kk-KZ" w:eastAsia="en-US"/>
        </w:rPr>
        <w:t>П</w:t>
      </w:r>
      <w:r w:rsidRPr="00F3233A">
        <w:rPr>
          <w:rFonts w:eastAsia="Calibri"/>
          <w:color w:val="000000" w:themeColor="text1"/>
          <w:szCs w:val="24"/>
          <w:lang w:eastAsia="en-US"/>
        </w:rPr>
        <w:t xml:space="preserve">К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келісімі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шартты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орындау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шағымдар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болмаған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жағдайда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шарт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жасасу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кезінде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ҚҚС-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сыз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20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млн.теңгеден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аз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сомаға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Қ</w:t>
      </w:r>
      <w:r>
        <w:rPr>
          <w:rFonts w:eastAsia="Calibri"/>
          <w:color w:val="000000" w:themeColor="text1"/>
          <w:szCs w:val="24"/>
          <w:lang w:val="kk-KZ" w:eastAsia="en-US"/>
        </w:rPr>
        <w:t>Т</w:t>
      </w:r>
      <w:r w:rsidRPr="00F3233A">
        <w:rPr>
          <w:rFonts w:eastAsia="Calibri"/>
          <w:color w:val="000000" w:themeColor="text1"/>
          <w:szCs w:val="24"/>
          <w:lang w:eastAsia="en-US"/>
        </w:rPr>
        <w:t xml:space="preserve">К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тәсілдерді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қолдану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жөніндегі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талапты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алып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тастай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алады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.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Басқа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жағдайларда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val="kk-KZ" w:eastAsia="en-US"/>
        </w:rPr>
        <w:t>ҚТК</w:t>
      </w:r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қолдану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міндетті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шарт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болып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табылады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>.</w:t>
      </w:r>
    </w:p>
    <w:p w14:paraId="26311CF4" w14:textId="37D0D520" w:rsidR="00851D08" w:rsidRPr="00F54173" w:rsidRDefault="00F3233A" w:rsidP="005A14D2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Бұл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ретте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жергілікті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қамту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үлесін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орындаудың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№ 5 Қ</w:t>
      </w:r>
      <w:r>
        <w:rPr>
          <w:rFonts w:eastAsia="Calibri"/>
          <w:color w:val="000000" w:themeColor="text1"/>
          <w:szCs w:val="24"/>
          <w:lang w:val="kk-KZ" w:eastAsia="en-US"/>
        </w:rPr>
        <w:t>Т</w:t>
      </w:r>
      <w:r w:rsidRPr="00F3233A">
        <w:rPr>
          <w:rFonts w:eastAsia="Calibri"/>
          <w:color w:val="000000" w:themeColor="text1"/>
          <w:szCs w:val="24"/>
          <w:lang w:eastAsia="en-US"/>
        </w:rPr>
        <w:t xml:space="preserve">К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мониторингі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міндеттеме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міндетті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болып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F3233A">
        <w:rPr>
          <w:rFonts w:eastAsia="Calibri"/>
          <w:color w:val="000000" w:themeColor="text1"/>
          <w:szCs w:val="24"/>
          <w:lang w:eastAsia="en-US"/>
        </w:rPr>
        <w:t>табылады</w:t>
      </w:r>
      <w:proofErr w:type="spellEnd"/>
      <w:r w:rsidRPr="00F3233A">
        <w:rPr>
          <w:rFonts w:eastAsia="Calibri"/>
          <w:color w:val="000000" w:themeColor="text1"/>
          <w:szCs w:val="24"/>
          <w:lang w:eastAsia="en-US"/>
        </w:rPr>
        <w:t>.</w:t>
      </w:r>
    </w:p>
    <w:sectPr w:rsidR="00851D08" w:rsidRPr="00F54173" w:rsidSect="00F5417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9F6C" w14:textId="77777777" w:rsidR="00505AFC" w:rsidRDefault="00505AFC" w:rsidP="00204D3E">
      <w:r>
        <w:separator/>
      </w:r>
    </w:p>
  </w:endnote>
  <w:endnote w:type="continuationSeparator" w:id="0">
    <w:p w14:paraId="6AA6B94F" w14:textId="77777777" w:rsidR="00505AFC" w:rsidRDefault="00505AFC" w:rsidP="002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8F13" w14:textId="77777777" w:rsidR="00505AFC" w:rsidRDefault="00505AFC" w:rsidP="00204D3E">
      <w:r>
        <w:separator/>
      </w:r>
    </w:p>
  </w:footnote>
  <w:footnote w:type="continuationSeparator" w:id="0">
    <w:p w14:paraId="3FB6ECF4" w14:textId="77777777" w:rsidR="00505AFC" w:rsidRDefault="00505AFC" w:rsidP="0020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08F"/>
    <w:multiLevelType w:val="hybridMultilevel"/>
    <w:tmpl w:val="7206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A23"/>
    <w:multiLevelType w:val="hybridMultilevel"/>
    <w:tmpl w:val="5626458A"/>
    <w:lvl w:ilvl="0" w:tplc="328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BD40E8"/>
    <w:multiLevelType w:val="hybridMultilevel"/>
    <w:tmpl w:val="A08A4256"/>
    <w:lvl w:ilvl="0" w:tplc="35988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07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5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0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9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81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E4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1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2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910E0"/>
    <w:multiLevelType w:val="hybridMultilevel"/>
    <w:tmpl w:val="398878F4"/>
    <w:lvl w:ilvl="0" w:tplc="96302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06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C0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0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F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8C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0E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3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2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D0E78"/>
    <w:multiLevelType w:val="hybridMultilevel"/>
    <w:tmpl w:val="070473B4"/>
    <w:lvl w:ilvl="0" w:tplc="42147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2F23"/>
    <w:multiLevelType w:val="hybridMultilevel"/>
    <w:tmpl w:val="051A1802"/>
    <w:lvl w:ilvl="0" w:tplc="6B7CE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E7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0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C9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8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C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8D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8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D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925F79"/>
    <w:multiLevelType w:val="multilevel"/>
    <w:tmpl w:val="E8F0B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184D1F"/>
    <w:multiLevelType w:val="hybridMultilevel"/>
    <w:tmpl w:val="D37E433A"/>
    <w:lvl w:ilvl="0" w:tplc="95F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C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E5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2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E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4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9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85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305DD9"/>
    <w:multiLevelType w:val="hybridMultilevel"/>
    <w:tmpl w:val="452C3BB4"/>
    <w:lvl w:ilvl="0" w:tplc="BB60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8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26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2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4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3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E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1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B7CED"/>
    <w:multiLevelType w:val="hybridMultilevel"/>
    <w:tmpl w:val="C04EF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F1A52"/>
    <w:multiLevelType w:val="hybridMultilevel"/>
    <w:tmpl w:val="DA8A72D4"/>
    <w:lvl w:ilvl="0" w:tplc="A774A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E8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B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F8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4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80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CB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08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1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21261399">
    <w:abstractNumId w:val="5"/>
  </w:num>
  <w:num w:numId="2" w16cid:durableId="1989437339">
    <w:abstractNumId w:val="1"/>
  </w:num>
  <w:num w:numId="3" w16cid:durableId="1215391834">
    <w:abstractNumId w:val="0"/>
  </w:num>
  <w:num w:numId="4" w16cid:durableId="904336720">
    <w:abstractNumId w:val="7"/>
  </w:num>
  <w:num w:numId="5" w16cid:durableId="1503936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147538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79207">
    <w:abstractNumId w:val="10"/>
  </w:num>
  <w:num w:numId="8" w16cid:durableId="1717776048">
    <w:abstractNumId w:val="3"/>
  </w:num>
  <w:num w:numId="9" w16cid:durableId="1166243266">
    <w:abstractNumId w:val="6"/>
  </w:num>
  <w:num w:numId="10" w16cid:durableId="728305899">
    <w:abstractNumId w:val="11"/>
  </w:num>
  <w:num w:numId="11" w16cid:durableId="1181091378">
    <w:abstractNumId w:val="4"/>
  </w:num>
  <w:num w:numId="12" w16cid:durableId="1667902297">
    <w:abstractNumId w:val="8"/>
  </w:num>
  <w:num w:numId="13" w16cid:durableId="2120483812">
    <w:abstractNumId w:val="9"/>
  </w:num>
  <w:num w:numId="14" w16cid:durableId="1106847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2E"/>
    <w:rsid w:val="0000659B"/>
    <w:rsid w:val="00013F24"/>
    <w:rsid w:val="000327C4"/>
    <w:rsid w:val="00052B66"/>
    <w:rsid w:val="00061F9B"/>
    <w:rsid w:val="00077422"/>
    <w:rsid w:val="000923C4"/>
    <w:rsid w:val="000A5F90"/>
    <w:rsid w:val="000D5C6E"/>
    <w:rsid w:val="000E25EB"/>
    <w:rsid w:val="000E714E"/>
    <w:rsid w:val="00112DA4"/>
    <w:rsid w:val="00165877"/>
    <w:rsid w:val="00183452"/>
    <w:rsid w:val="00183E3B"/>
    <w:rsid w:val="00195186"/>
    <w:rsid w:val="001B1B8E"/>
    <w:rsid w:val="001B5837"/>
    <w:rsid w:val="001C7803"/>
    <w:rsid w:val="001D1235"/>
    <w:rsid w:val="001D522A"/>
    <w:rsid w:val="001E4496"/>
    <w:rsid w:val="001E491F"/>
    <w:rsid w:val="001F0FFE"/>
    <w:rsid w:val="001F2C6A"/>
    <w:rsid w:val="001F6D99"/>
    <w:rsid w:val="00204D3E"/>
    <w:rsid w:val="002105EF"/>
    <w:rsid w:val="00214CB9"/>
    <w:rsid w:val="00220C7B"/>
    <w:rsid w:val="00221BF5"/>
    <w:rsid w:val="00225746"/>
    <w:rsid w:val="00226768"/>
    <w:rsid w:val="00256BD3"/>
    <w:rsid w:val="002922A5"/>
    <w:rsid w:val="002A62BA"/>
    <w:rsid w:val="002D127B"/>
    <w:rsid w:val="002E5AA8"/>
    <w:rsid w:val="00316672"/>
    <w:rsid w:val="00330160"/>
    <w:rsid w:val="003415EC"/>
    <w:rsid w:val="00350EC9"/>
    <w:rsid w:val="00370D80"/>
    <w:rsid w:val="00377F25"/>
    <w:rsid w:val="003A7220"/>
    <w:rsid w:val="003B0D82"/>
    <w:rsid w:val="003B683B"/>
    <w:rsid w:val="003B7A21"/>
    <w:rsid w:val="003D15BC"/>
    <w:rsid w:val="003E0649"/>
    <w:rsid w:val="003F3054"/>
    <w:rsid w:val="00401F7D"/>
    <w:rsid w:val="00412976"/>
    <w:rsid w:val="00415A26"/>
    <w:rsid w:val="0043690C"/>
    <w:rsid w:val="004509CD"/>
    <w:rsid w:val="00491E14"/>
    <w:rsid w:val="004A5D81"/>
    <w:rsid w:val="004C4C5B"/>
    <w:rsid w:val="004D3DCC"/>
    <w:rsid w:val="004D6213"/>
    <w:rsid w:val="004D6395"/>
    <w:rsid w:val="004F1D47"/>
    <w:rsid w:val="004F470B"/>
    <w:rsid w:val="004F5046"/>
    <w:rsid w:val="004F6C64"/>
    <w:rsid w:val="00505AFC"/>
    <w:rsid w:val="00544B62"/>
    <w:rsid w:val="00546564"/>
    <w:rsid w:val="0055178E"/>
    <w:rsid w:val="005A0770"/>
    <w:rsid w:val="005A14D2"/>
    <w:rsid w:val="005D0FB5"/>
    <w:rsid w:val="005D65AF"/>
    <w:rsid w:val="005E2D37"/>
    <w:rsid w:val="005E3963"/>
    <w:rsid w:val="00621944"/>
    <w:rsid w:val="00621B97"/>
    <w:rsid w:val="00630619"/>
    <w:rsid w:val="00632C38"/>
    <w:rsid w:val="006654D1"/>
    <w:rsid w:val="006748DA"/>
    <w:rsid w:val="00692EE0"/>
    <w:rsid w:val="006A3E51"/>
    <w:rsid w:val="006A5D7D"/>
    <w:rsid w:val="006B713B"/>
    <w:rsid w:val="006C4A77"/>
    <w:rsid w:val="006D4036"/>
    <w:rsid w:val="006F0315"/>
    <w:rsid w:val="00710B68"/>
    <w:rsid w:val="00720758"/>
    <w:rsid w:val="00740B50"/>
    <w:rsid w:val="00757233"/>
    <w:rsid w:val="00774A16"/>
    <w:rsid w:val="0078206E"/>
    <w:rsid w:val="00792BDC"/>
    <w:rsid w:val="007A213E"/>
    <w:rsid w:val="007B3747"/>
    <w:rsid w:val="007C3B73"/>
    <w:rsid w:val="007E3BB3"/>
    <w:rsid w:val="00804D1C"/>
    <w:rsid w:val="00806856"/>
    <w:rsid w:val="00806AFB"/>
    <w:rsid w:val="00813540"/>
    <w:rsid w:val="008329A0"/>
    <w:rsid w:val="0084187B"/>
    <w:rsid w:val="00843F04"/>
    <w:rsid w:val="00850A82"/>
    <w:rsid w:val="00851D08"/>
    <w:rsid w:val="00866E62"/>
    <w:rsid w:val="00881A7C"/>
    <w:rsid w:val="008A01D6"/>
    <w:rsid w:val="008B029F"/>
    <w:rsid w:val="008C169F"/>
    <w:rsid w:val="008C237E"/>
    <w:rsid w:val="008D1170"/>
    <w:rsid w:val="008D3A3C"/>
    <w:rsid w:val="008D65BE"/>
    <w:rsid w:val="009111AE"/>
    <w:rsid w:val="00914D9E"/>
    <w:rsid w:val="009159D7"/>
    <w:rsid w:val="0092301C"/>
    <w:rsid w:val="00930D31"/>
    <w:rsid w:val="00950B08"/>
    <w:rsid w:val="00956DE8"/>
    <w:rsid w:val="009579A7"/>
    <w:rsid w:val="00967EB4"/>
    <w:rsid w:val="00983BB3"/>
    <w:rsid w:val="00994D83"/>
    <w:rsid w:val="009B0FEC"/>
    <w:rsid w:val="009B3D5B"/>
    <w:rsid w:val="009B633C"/>
    <w:rsid w:val="009B7017"/>
    <w:rsid w:val="009C0498"/>
    <w:rsid w:val="009D275E"/>
    <w:rsid w:val="009E199A"/>
    <w:rsid w:val="00A07886"/>
    <w:rsid w:val="00A434C8"/>
    <w:rsid w:val="00A4390D"/>
    <w:rsid w:val="00A6605E"/>
    <w:rsid w:val="00A72C85"/>
    <w:rsid w:val="00A7354F"/>
    <w:rsid w:val="00A82074"/>
    <w:rsid w:val="00AD5DD7"/>
    <w:rsid w:val="00AE2AA3"/>
    <w:rsid w:val="00B120A4"/>
    <w:rsid w:val="00B15021"/>
    <w:rsid w:val="00B22B6C"/>
    <w:rsid w:val="00B25C68"/>
    <w:rsid w:val="00B426A8"/>
    <w:rsid w:val="00B52D8E"/>
    <w:rsid w:val="00B915AC"/>
    <w:rsid w:val="00BA3E7D"/>
    <w:rsid w:val="00BD5AD4"/>
    <w:rsid w:val="00BF29E7"/>
    <w:rsid w:val="00C21487"/>
    <w:rsid w:val="00C26C1E"/>
    <w:rsid w:val="00C80876"/>
    <w:rsid w:val="00C95B2E"/>
    <w:rsid w:val="00CA63FD"/>
    <w:rsid w:val="00CC294C"/>
    <w:rsid w:val="00CF5A52"/>
    <w:rsid w:val="00D10266"/>
    <w:rsid w:val="00D329CC"/>
    <w:rsid w:val="00D332D6"/>
    <w:rsid w:val="00D36A4F"/>
    <w:rsid w:val="00D4472D"/>
    <w:rsid w:val="00D72F7C"/>
    <w:rsid w:val="00D75DD1"/>
    <w:rsid w:val="00D90085"/>
    <w:rsid w:val="00DC1CC5"/>
    <w:rsid w:val="00DD297F"/>
    <w:rsid w:val="00E16E77"/>
    <w:rsid w:val="00E22986"/>
    <w:rsid w:val="00E537AD"/>
    <w:rsid w:val="00E632DF"/>
    <w:rsid w:val="00E638D1"/>
    <w:rsid w:val="00EC06C8"/>
    <w:rsid w:val="00ED305E"/>
    <w:rsid w:val="00EE5671"/>
    <w:rsid w:val="00F02922"/>
    <w:rsid w:val="00F12AA5"/>
    <w:rsid w:val="00F20915"/>
    <w:rsid w:val="00F3233A"/>
    <w:rsid w:val="00F33839"/>
    <w:rsid w:val="00F40927"/>
    <w:rsid w:val="00F44585"/>
    <w:rsid w:val="00F47948"/>
    <w:rsid w:val="00F54173"/>
    <w:rsid w:val="00F76F78"/>
    <w:rsid w:val="00F84C26"/>
    <w:rsid w:val="00F90BD6"/>
    <w:rsid w:val="00F92A1E"/>
    <w:rsid w:val="00F9302C"/>
    <w:rsid w:val="00F94C44"/>
    <w:rsid w:val="00FB5868"/>
    <w:rsid w:val="00FB6337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EA40"/>
  <w15:docId w15:val="{192FF7F8-6287-4E04-8A26-5B0E428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2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B8E"/>
    <w:pPr>
      <w:ind w:left="720"/>
      <w:contextualSpacing/>
    </w:pPr>
  </w:style>
  <w:style w:type="paragraph" w:styleId="a5">
    <w:name w:val="No Spacing"/>
    <w:uiPriority w:val="1"/>
    <w:qFormat/>
    <w:rsid w:val="009D27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E2AA3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header"/>
    <w:basedOn w:val="a"/>
    <w:link w:val="a8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F3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183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94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8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482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49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76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80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Саханов Рауан Мухтарович</dc:creator>
  <cp:lastModifiedBy>Куразов Нурхан Туретаевич</cp:lastModifiedBy>
  <cp:revision>5</cp:revision>
  <dcterms:created xsi:type="dcterms:W3CDTF">2023-01-26T03:54:00Z</dcterms:created>
  <dcterms:modified xsi:type="dcterms:W3CDTF">2023-10-13T05:42:00Z</dcterms:modified>
</cp:coreProperties>
</file>